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spacing w:after="160"/>
      </w:pPr>
    </w:p>
    <w:p>
      <w:pPr>
        <w:keepNext/>
        <w:spacing w:before="0" w:after="320"/>
      </w:pPr>
      <w:r>
        <w:rPr>
          <w:rFonts w:ascii="Arial" w:hAnsi="Arial" w:eastAsia="Arial"/>
          <w:b/>
          <w:color w:val="E34A2B"/>
          <w:sz w:val="16"/>
        </w:rPr>
        <w:t>РОССИЙСКАЯ АКАДЕМИЯ ХУДОЖЕСТВ · ПРОДУКТОВЫЙ КАТАЛОГ</w:t>
      </w:r>
    </w:p>
    <w:p>
      <w:pPr>
        <w:pStyle w:val="Title"/>
        <w:spacing w:after="200"/>
      </w:pPr>
      <w:r>
        <w:rPr>
          <w:rFonts w:ascii="Arial" w:hAnsi="Arial" w:eastAsia="Arial"/>
          <w:b/>
          <w:color w:val="111111"/>
          <w:sz w:val="66"/>
        </w:rPr>
        <w:t>Восемь коммерческих продуктов РАХ</w:t>
      </w:r>
    </w:p>
    <w:p>
      <w:pPr>
        <w:pStyle w:val="Subtitle"/>
        <w:spacing w:after="560"/>
      </w:pPr>
      <w:r>
        <w:rPr>
          <w:rFonts w:ascii="Arial" w:hAnsi="Arial" w:eastAsia="Arial"/>
          <w:b w:val="0"/>
          <w:color w:val="626262"/>
          <w:sz w:val="29"/>
        </w:rPr>
        <w:t>От оплачиваемой диагностики до проектирования, производства, монтажа, прав и обслуживания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23"/>
              </w:rPr>
              <w:t>Каждый продукт начинается с небольшого оплачиваемого входа, имеет контрольные точки и заканчивается переданным заказчику, юридически и технически исполнимым результатом.</w:t>
            </w:r>
          </w:p>
        </w:tc>
      </w:tr>
    </w:tbl>
    <w:p>
      <w:pPr>
        <w:spacing w:after="240"/>
      </w:pP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ПРОЕКТ  </w:t>
      </w:r>
      <w:r>
        <w:rPr>
          <w:rFonts w:ascii="Arial" w:hAnsi="Arial" w:eastAsia="Arial"/>
          <w:color w:val="111111"/>
          <w:sz w:val="18"/>
        </w:rPr>
        <w:t>Проектный офис художественных проектов РАХ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ПОЛЬЗОВАТЕЛИ  </w:t>
      </w:r>
      <w:r>
        <w:rPr>
          <w:rFonts w:ascii="Arial" w:hAnsi="Arial" w:eastAsia="Arial"/>
          <w:color w:val="111111"/>
          <w:sz w:val="18"/>
        </w:rPr>
        <w:t>Проектный офис РАХ, Фонд РАХ, авторы и аккаунт-команды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ПРИНЦИП  </w:t>
      </w:r>
      <w:r>
        <w:rPr>
          <w:rFonts w:ascii="Arial" w:hAnsi="Arial" w:eastAsia="Arial"/>
          <w:color w:val="111111"/>
          <w:sz w:val="18"/>
        </w:rPr>
        <w:t>РАХ — экспертиза и качество; оператор — договор и реализация; автор — произведение и права</w:t>
      </w:r>
    </w:p>
    <w:p>
      <w:pPr>
        <w:spacing w:after="50"/>
      </w:pPr>
      <w:r>
        <w:rPr>
          <w:rFonts w:ascii="Arial" w:hAnsi="Arial" w:eastAsia="Arial"/>
          <w:b/>
          <w:color w:val="E34A2B"/>
          <w:sz w:val="15"/>
        </w:rPr>
        <w:t xml:space="preserve">ДАТА  </w:t>
      </w:r>
      <w:r>
        <w:rPr>
          <w:rFonts w:ascii="Arial" w:hAnsi="Arial" w:eastAsia="Arial"/>
          <w:color w:val="111111"/>
          <w:sz w:val="18"/>
        </w:rPr>
        <w:t>31 августа 2026 года</w:t>
      </w:r>
    </w:p>
    <w:p>
      <w:pPr>
        <w:spacing w:before="320" w:after="0"/>
      </w:pPr>
      <w:r>
        <w:rPr>
          <w:rFonts w:ascii="Arial" w:hAnsi="Arial" w:eastAsia="Arial"/>
          <w:i/>
          <w:color w:val="626262"/>
          <w:sz w:val="16"/>
        </w:rPr>
        <w:t>Все ценовые диапазоны — рабочие гипотезы без НДС. Они не являются тарифами, публичной офертой или среднерыночной статистикой.</w:t>
      </w: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111111"/>
          <w:sz w:val="16"/>
        </w:rPr>
        <w:t>00  ОБЩАЯ КОМПЛЕКТАЦИЯ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Один стандарт для всех восьми продуктов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Коммерческое предложение раскрывает все составляющие цены и не маскирует бесплатный эскиз под пресейл.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700"/>
        <w:gridCol w:w="296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Что покупает заказчик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Коммерческий смысл</w:t>
            </w:r>
          </w:p>
        </w:tc>
      </w:tr>
      <w:tr>
        <w:tc>
          <w:tcPr>
            <w:tcW w:type="dxa" w:w="1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Start</w:t>
            </w:r>
          </w:p>
        </w:tc>
        <w:tc>
          <w:tcPr>
            <w:tcW w:type="dxa" w:w="4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Платная диагностика: задача, контекст, риски, бюджетный коридор и следующий этап.</w:t>
            </w:r>
          </w:p>
        </w:tc>
        <w:tc>
          <w:tcPr>
            <w:tcW w:type="dxa" w:w="29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Быстрый вход без бесплатного производства творческого решения.</w:t>
            </w:r>
          </w:p>
        </w:tc>
      </w:tr>
      <w:tr>
        <w:tc>
          <w:tcPr>
            <w:tcW w:type="dxa" w:w="1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Concept</w:t>
            </w:r>
          </w:p>
        </w:tc>
        <w:tc>
          <w:tcPr>
            <w:tcW w:type="dxa" w:w="4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Концепция, выбор автора, задания, права, предварительная смета и календарь.</w:t>
            </w:r>
          </w:p>
        </w:tc>
        <w:tc>
          <w:tcPr>
            <w:tcW w:type="dxa" w:w="29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Точка принятия инвестиционного решения до необратимых затрат.</w:t>
            </w:r>
          </w:p>
        </w:tc>
      </w:tr>
      <w:tr>
        <w:tc>
          <w:tcPr>
            <w:tcW w:type="dxa" w:w="1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Delivery</w:t>
            </w:r>
          </w:p>
        </w:tc>
        <w:tc>
          <w:tcPr>
            <w:tcW w:type="dxa" w:w="4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Проектирование, согласования, изготовление, логистика, монтаж и запуск.</w:t>
            </w:r>
          </w:p>
        </w:tc>
        <w:tc>
          <w:tcPr>
            <w:tcW w:type="dxa" w:w="29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Комплексный результат с этапной приёмкой и ответственностью.</w:t>
            </w:r>
          </w:p>
        </w:tc>
      </w:tr>
      <w:tr>
        <w:tc>
          <w:tcPr>
            <w:tcW w:type="dxa" w:w="1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Care</w:t>
            </w:r>
          </w:p>
        </w:tc>
        <w:tc>
          <w:tcPr>
            <w:tcW w:type="dxa" w:w="4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Гарантия, обслуживание, реставрация, ротация, обновление контента и повторные серии.</w:t>
            </w:r>
          </w:p>
        </w:tc>
        <w:tc>
          <w:tcPr>
            <w:tcW w:type="dxa" w:w="29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Повторяемая выручка и сохранение качества объекта.</w:t>
            </w:r>
          </w:p>
        </w:tc>
      </w:tr>
    </w:tbl>
    <w:p>
      <w:pPr>
        <w:spacing w:after="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Контрольные точки G0–G6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19"/>
        </w:rPr>
        <w:t xml:space="preserve">G0 — </w:t>
      </w:r>
      <w:r>
        <w:rPr>
          <w:rFonts w:ascii="Arial" w:hAnsi="Arial" w:eastAsia="Arial"/>
          <w:b w:val="0"/>
          <w:color w:val="111111"/>
          <w:sz w:val="19"/>
        </w:rPr>
        <w:t xml:space="preserve">утверждены задача и бюджетный коридор; </w:t>
      </w:r>
      <w:r>
        <w:rPr>
          <w:rFonts w:ascii="Arial" w:hAnsi="Arial" w:eastAsia="Arial"/>
          <w:b/>
          <w:color w:val="111111"/>
          <w:sz w:val="19"/>
        </w:rPr>
        <w:t>G1</w:t>
      </w:r>
      <w:r>
        <w:rPr>
          <w:rFonts w:ascii="Arial" w:hAnsi="Arial" w:eastAsia="Arial"/>
          <w:b w:val="0"/>
          <w:color w:val="111111"/>
          <w:sz w:val="19"/>
        </w:rPr>
        <w:t xml:space="preserve"> — принята художественная концепция.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19"/>
        </w:rPr>
        <w:t xml:space="preserve">G2 — </w:t>
      </w:r>
      <w:r>
        <w:rPr>
          <w:rFonts w:ascii="Arial" w:hAnsi="Arial" w:eastAsia="Arial"/>
          <w:b w:val="0"/>
          <w:color w:val="111111"/>
          <w:sz w:val="19"/>
        </w:rPr>
        <w:t xml:space="preserve">подтверждены техника, допуски и цепочка прав; </w:t>
      </w:r>
      <w:r>
        <w:rPr>
          <w:rFonts w:ascii="Arial" w:hAnsi="Arial" w:eastAsia="Arial"/>
          <w:b/>
          <w:color w:val="111111"/>
          <w:sz w:val="19"/>
        </w:rPr>
        <w:t>G3</w:t>
      </w:r>
      <w:r>
        <w:rPr>
          <w:rFonts w:ascii="Arial" w:hAnsi="Arial" w:eastAsia="Arial"/>
          <w:b w:val="0"/>
          <w:color w:val="111111"/>
          <w:sz w:val="19"/>
        </w:rPr>
        <w:t xml:space="preserve"> — принят макет или образец 1:1.</w:t>
      </w:r>
    </w:p>
    <w:p>
      <w:pPr>
        <w:pStyle w:val="ListBullet"/>
      </w:pPr>
      <w:r>
        <w:rPr>
          <w:rFonts w:ascii="Arial" w:hAnsi="Arial" w:eastAsia="Arial"/>
          <w:b/>
          <w:color w:val="111111"/>
          <w:sz w:val="19"/>
        </w:rPr>
        <w:t xml:space="preserve">G4 — </w:t>
      </w:r>
      <w:r>
        <w:rPr>
          <w:rFonts w:ascii="Arial" w:hAnsi="Arial" w:eastAsia="Arial"/>
          <w:b w:val="0"/>
          <w:color w:val="111111"/>
          <w:sz w:val="19"/>
        </w:rPr>
        <w:t xml:space="preserve">производственная приёмка; </w:t>
      </w:r>
      <w:r>
        <w:rPr>
          <w:rFonts w:ascii="Arial" w:hAnsi="Arial" w:eastAsia="Arial"/>
          <w:b/>
          <w:color w:val="111111"/>
          <w:sz w:val="19"/>
        </w:rPr>
        <w:t>G5</w:t>
      </w:r>
      <w:r>
        <w:rPr>
          <w:rFonts w:ascii="Arial" w:hAnsi="Arial" w:eastAsia="Arial"/>
          <w:b w:val="0"/>
          <w:color w:val="111111"/>
          <w:sz w:val="19"/>
        </w:rPr>
        <w:t xml:space="preserve"> — монтаж и пуск; </w:t>
      </w:r>
      <w:r>
        <w:rPr>
          <w:rFonts w:ascii="Arial" w:hAnsi="Arial" w:eastAsia="Arial"/>
          <w:b/>
          <w:color w:val="111111"/>
          <w:sz w:val="19"/>
        </w:rPr>
        <w:t>G6</w:t>
      </w:r>
      <w:r>
        <w:rPr>
          <w:rFonts w:ascii="Arial" w:hAnsi="Arial" w:eastAsia="Arial"/>
          <w:b w:val="0"/>
          <w:color w:val="111111"/>
          <w:sz w:val="19"/>
        </w:rPr>
        <w:t xml:space="preserve"> — паспорт, гарантия и эксплуатация.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111111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5"/>
              </w:rPr>
              <w:t xml:space="preserve">КАК ФОРМИРУЕТСЯ ЦЕНА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Исследование и концепция + автор + кураторство + проектирование + производство + логистика и монтаж + права + управление + резерв риска 10–20% + налоги применимого исполнителя.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РОЛИ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РАХ отвечает за экспертную рамку и художественное качество. Фонд может быть оператором только в пределах собственного устава, лицензий и СРО. Автор создаёт произведение и передаёт согласованный объём прав. Технические партнёры отвечают за свои разделы и гарантии.</w:t>
            </w:r>
          </w:p>
        </w:tc>
      </w:tr>
    </w:tbl>
    <w:p>
      <w:pPr>
        <w:spacing w:after="20" w:before="0"/>
      </w:pPr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01  ДЕВЕЛОПМЕНТ И СРЕДА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Арт в архитектуре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Произведение, изначально встроенное в архитектуру, конструктив, благоустройство и бренд места — не декор после завершения стройки.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«Арт-аудит объекта за 6 недель» — 1,5–2,5 млн ₽. Результат: 3–5 точек, типологии, 6–10 авторов, риски, три бюджета и ТЗ на следующий этап.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Девелоперы, офисы, гостиницы, кампусы, аэропорты, вокзалы, университеты, муниципалитеты и архитектурные бюро.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Арт-мастерплан; выбранный автор; эскиз, инженерия и рабочий проект; макет; произведение; монтаж; права; паспорт, гарантия и коммуникационный пакет.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Форматы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Скульптура, рельеф, мозаика, роспись, витраж, металл, свет, керамика, малые формы, интерьер и ландшафт.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Обычный объект 5–12 месяцев; крупный ансамбль 12–24 месяца. Вход в проект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до архитектурного freeze.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Генплан, АР, благоустройство, BIM/CAD, нагрузки и сети, климат, пожарные ограничения, брендбук, бюджет, монтажное окно и объём прав.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Интеграция в архитектуру; безопасность; контрольный образец; климатическая и антивандальная устойчивость; чистые права; обслуживаемость.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34A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Concept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4–9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Арт-концепция, художественное задание и отбор автора.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Один объект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15–45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Проектирование, производство и монтаж среднего масштаба.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Знаковый объект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45–150+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Сложная инженерия, крупный масштаб или ансамбль.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Квартал / кампус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80–300+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Портфель объектов и поочерёдная реализация.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ПРАВА И РОЛИ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Собственность на объект и авторские права оформляются раздельно. РАХ — арт-совет и приёмка; оператор — производство; автор — произведение и надзор; архитектор и инженеры — техническая интеграция.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3">
        <w:r>
          <w:rPr>
            <w:rFonts w:ascii="Arial" w:hAnsi="Arial"/>
            <w:color w:val="626262"/>
            <w:sz w:val="14"/>
            <w:u w:val="single"/>
          </w:rPr>
          <w:t>STONE ART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4">
        <w:r>
          <w:rPr>
            <w:rFonts w:ascii="Arial" w:hAnsi="Arial"/>
            <w:color w:val="626262"/>
            <w:sz w:val="14"/>
            <w:u w:val="single"/>
          </w:rPr>
          <w:t>MR Group: восемь скульптур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5">
        <w:r>
          <w:rPr>
            <w:rFonts w:ascii="Arial" w:hAnsi="Arial"/>
            <w:color w:val="626262"/>
            <w:sz w:val="14"/>
            <w:u w:val="single"/>
          </w:rPr>
          <w:t>Public Art Fund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2D6CDF"/>
          <w:sz w:val="16"/>
        </w:rPr>
        <w:t>02  КУЛЬТУРНАЯ ИНФРАСТРУКТУРА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Музей и экспозиция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Посетительский сценарий, который объединяет научное содержание, предметы, архитектуру, графику, свет, мультимедиа и образовательную программу.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2D6CDF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2D6CDF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«Экспозиционный спринт за 6 недель» — 1,5–3 млн ₽. Сценарий, тематический план, маршрут, ключевые экспонаты, визуальное направление, мультимедиа, риски и бюджет.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Музеи, культурные центры, библиотеки, корпоративные музеи, университеты, филиалы Национального центра «Россия», юбилейные проекты.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Научная и кураторская концепция; тематико-экспозиционный план; архитектура, графика, витрины, свет и мультимедиа; изготовление, монтаж и обучение.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Временная выставка 3–9 месяцев; постоянная экспозиция 8–18 месяцев; мобильная версия проектируется как отдельный модуль.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Реестр предметов, права, condition reports, планы, микроклимат, свет, безопасность, доступность, займы, страхование, бюджет и дата открытия.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Научное утверждение; сохранность; доступность; проверенные права; нагрузочное тестирование AV; репетиция; исходники и возможность обновления.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Передвижная и цифровая версия, каталог, образовательная программа, сувениры и годовое обслуживание мультимедиа.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D6CD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D6CD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D6CD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Региональная временная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8–25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Проект, изготовление и монтаж компактной экспозиции.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Флагманская временная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25–80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Сложный контент, займы, мультимедиа и сценография.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Постоянная средняя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35–120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Новая экспозиция среднего масштаба.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Крупная постоянная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120–400+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Крупный музей или многоуровневая экспозиция.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ПРАВА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Для каждого изображения, текста, предмета, видео, музыки и программного компонента ведётся rights register. По мультимедиа заказчику передаются исходники, лицензии, доступы и регламент поддержки.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6">
        <w:r>
          <w:rPr>
            <w:rFonts w:ascii="Arial" w:hAnsi="Arial"/>
            <w:color w:val="626262"/>
            <w:sz w:val="14"/>
            <w:u w:val="single"/>
          </w:rPr>
          <w:t>РАХ: «Театр: пространство вдохновения»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7">
        <w:r>
          <w:rPr>
            <w:rFonts w:ascii="Arial" w:hAnsi="Arial"/>
            <w:color w:val="626262"/>
            <w:sz w:val="14"/>
            <w:u w:val="single"/>
          </w:rPr>
          <w:t>Музейные закупки Ростова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18">
        <w:r>
          <w:rPr>
            <w:rFonts w:ascii="Arial" w:hAnsi="Arial"/>
            <w:color w:val="626262"/>
            <w:sz w:val="14"/>
            <w:u w:val="single"/>
          </w:rPr>
          <w:t>Минкультуры: инфраструктура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16735A"/>
          <w:sz w:val="16"/>
        </w:rPr>
        <w:t>03  НАСЛЕДИЕ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Наследие и адаптивное использование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От инвестиционного скрининга ОКН до реставрации, приспособления и жизнеспособной новой функции — с честным описанием ограничений.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16735A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6735A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«Инвестиционный паспорт ОКН за 6 недель» — 1,8–3,5 млн ₽. Правовые и технические риски, три функции, CAPEX-коридор, маршрут согласований и вывод green / amber / red.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ДОМ.РФ и Банк ДОМ.РФ, инвесторы, девелоперы, регионы, муниципалитеты, музеи, гостиничные и культурные операторы.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Инвестиционный паспорт; обременения; сценарии функции; концепция приспособления; НПД; экспертиза и разрешения; работы; регламент эксплуатации.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Скрининг 4–6 недель; исследования и концепция 3–6 месяцев; документация 6–12; весь цикл обычно 18–48 месяцев.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ЕГРН, предмет охраны, охранное обязательство, состояние, архив, сети, земля и археология, будущий оператор, бюджет и срок.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Подлинность материи; совместимость материалов; документирование скрытых работ; change control; научный отчёт; реалистичная эксплуатация.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Интерьер, экспозиция, монументальное искусство, благоустройство, банковский пакет, подбор оператора и мониторинг состояния.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6735A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6735A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6735A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Концепция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5–15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Сценарии нового использования и приспособления.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НПД среднего объекта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15–60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Исследования и научно-проектная документация.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НПД сложного объекта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60–180+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Крупный или технически сложный ОКН.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Работы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200–800+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Очень ранний инвестиционный коридор; не смета здания.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ДОПУСКИ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Лицензия Фонда № МКРФ 22779 подтверждена официальным актом. Новое членство Фонда в проектном СРО после 17.12.2025 не подтверждено; при необходимости привлекается квалифицированный партнёр.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9">
        <w:r>
          <w:rPr>
            <w:rFonts w:ascii="Arial" w:hAnsi="Arial"/>
            <w:color w:val="626262"/>
            <w:sz w:val="14"/>
            <w:u w:val="single"/>
          </w:rPr>
          <w:t>Акт с лицензией Фонда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0">
        <w:r>
          <w:rPr>
            <w:rFonts w:ascii="Arial" w:hAnsi="Arial"/>
            <w:color w:val="626262"/>
            <w:sz w:val="14"/>
            <w:u w:val="single"/>
          </w:rPr>
          <w:t>ДОМ.РФ: цель 1 000 ОКН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1">
        <w:r>
          <w:rPr>
            <w:rFonts w:ascii="Arial" w:hAnsi="Arial"/>
            <w:color w:val="626262"/>
            <w:sz w:val="14"/>
            <w:u w:val="single"/>
          </w:rPr>
          <w:t>Кредит GloraX 645,62 млн ₽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A5382B"/>
          <w:sz w:val="16"/>
        </w:rPr>
        <w:t>04  ИСТОРИЯ И ПАМЯТЬ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Мемориальные проекты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Исторически достоверный, общественно легитимный и технически долговечный мемориал, объединяющий скульптуру, архитектуру, ландшафт и благоустройство.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«Паспорт готовности мемориального проекта за 6 недель» — 2–6 млн ₽. Исторический бриф, участок, масштабы, процедура автора, календарь, риски и три бюджета.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Регионы, муниципалитеты, РВИО, РИО, музеи, государственные структуры, корпорации и благотворители.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Исторический бриф; анализ участка; конкурс; концепция; проект; произведение; благоустройство, свет и навигация; права, паспорт и программа открытия.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Бриф 4–8 недель; автор 8–14; проектирование и согласования 5–12 месяцев; полный цикл 12–30 месяцев.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Участок и земля, градостроительные ограничения, ТУ, проверенные имена и события, бюджет, дата открытия, стейкхолдеры и эксплуатация.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Историческая точность; связь с местом; доступность и безопасность; долговечность; ремонтопригодность; прозрачная экспертная процедура.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Музейный павильон, цифровая карта, аудиогид, образование, издания, тиражи, церемония и обслуживание.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538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538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A5382B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Конкурс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3–12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Организация плюс отдельные гонорары финалистам.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Концепция и проект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8–30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Автор, архитектура, ландшафт и инженерия.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Локальный мемориал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25–80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Полный цикл среднего масштаба.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Городской ансамбль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100–500+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Строительство и сложная производственная кооперация.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ЗАКУПКА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Основание для заказа конкретному автору не превращает строительство, проектирование, производство и монтаж всего комплекса в автоматическую прямую закупку.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22">
        <w:r>
          <w:rPr>
            <w:rFonts w:ascii="Arial" w:hAnsi="Arial"/>
            <w:color w:val="626262"/>
            <w:sz w:val="14"/>
            <w:u w:val="single"/>
          </w:rPr>
          <w:t>Соглашение РАХ–РВИО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3">
        <w:r>
          <w:rPr>
            <w:rFonts w:ascii="Arial" w:hAnsi="Arial"/>
            <w:color w:val="626262"/>
            <w:sz w:val="14"/>
            <w:u w:val="single"/>
          </w:rPr>
          <w:t>РВИО: объём проектов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4">
        <w:r>
          <w:rPr>
            <w:rFonts w:ascii="Arial" w:hAnsi="Arial"/>
            <w:color w:val="626262"/>
            <w:sz w:val="14"/>
            <w:u w:val="single"/>
          </w:rPr>
          <w:t>Чебоксары: контракт 426,31 млн ₽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6C4AB6"/>
          <w:sz w:val="16"/>
        </w:rPr>
        <w:t>05  МЕТОДОЛОГИЯ ТЕРРИТОРИИ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Арт-код территории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Художественный слой «Архитектурного кода России»: идентичность места переводится в систему сюжетов, материалов, участков, заданий и реализуемых заказов.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6C4AB6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C4AB6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«Арт-диагностика за 2 недели» — 0,8–1,5 млн ₽; затем 10-недельный пилот — 4–8 млн ₽.</w:t>
            </w:r>
            <w:r>
              <w:br/>
            </w:r>
            <w:hyperlink r:id="rId42">
              <w:r>
                <w:rPr>
                  <w:color w:val="6C4AB6"/>
                  <w:u w:val="single"/>
                </w:rPr>
                <w:t>Архи-код — city-archi-code.korsi.ru</w:t>
              </w:r>
            </w:hyperlink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Регион, город, корпорация развития, мастер-девелопер, ДОМ.РФ или филиал Национального центра «Россия».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Смысловая карта; атлас кодов; правила и ограничения; карта мест; портфель заказов; три готовых ТЗ; концепция одного объекта; дорожная карта.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Пилот 10 недель; городской код 4–6 месяцев; регион или крупный кластер 6–8 месяцев.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Генплан и мастер-план, архитектурный код, благоустройство, туристические маршруты, история, инвестиции, стейкхолдеры и бюджет.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Решения прослеживаются до свойств места; нет универсальных клише; у каждой инициативы есть участок, заказчик, бюджет и обслуживание.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Конкурсы, реализация, навигация, фестиваль, цифровой атлас, ежегодный аудит, музейный и туристический контент.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C4AB6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C4AB6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6C4AB6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Диагностика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0,8–1,5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5–7 участков, три темы, стейкхолдеры и ТЗ.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Пилот 10 недель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4–8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Код, задания, концепция, бюджет и закупочная карта.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Город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12–30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Полная система мест и последующих художественных заказов.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Регион / кластер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25–60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Масштабирование методики и портфель территорий.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СТАТУС ПИЛОТА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Конкретная территория пилота определяется только после письменного подтверждения заказчика, объёма работ, бюджета и ответственного оператора. Методика не заменяет ПЗЗ, проектирование, экспертизу и законные согласования.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25">
        <w:r>
          <w:rPr>
            <w:rFonts w:ascii="Arial" w:hAnsi="Arial"/>
            <w:color w:val="626262"/>
            <w:sz w:val="14"/>
            <w:u w:val="single"/>
          </w:rPr>
          <w:t>30 000 территорий и 1 600 проектов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6">
        <w:r>
          <w:rPr>
            <w:rFonts w:ascii="Arial" w:hAnsi="Arial"/>
            <w:color w:val="626262"/>
            <w:sz w:val="14"/>
            <w:u w:val="single"/>
          </w:rPr>
          <w:t>294 проекта на 2026–2027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7">
        <w:r>
          <w:rPr>
            <w:rFonts w:ascii="Arial" w:hAnsi="Arial"/>
            <w:color w:val="626262"/>
            <w:sz w:val="14"/>
            <w:u w:val="single"/>
          </w:rPr>
          <w:t>Архитектурный совет НЦ «Россия»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00838F"/>
          <w:sz w:val="16"/>
        </w:rPr>
        <w:t>06  B2B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РАХ. Корпоративное искусство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Программа для идентичности бренда, качества среды и репутации — вместо случайной покупки декора для лобби.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00838F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00838F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«Art Opportunity Audit за 3 недели» — 1,2–2 млн ₽. 5–7 мест, три сценария, авторы, права, риски, бюджет и план первого заказа.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Девелоперы, банки, промышленные холдинги, штаб-квартиры, гостиницы, бизнес-центры, медицинские и образовательные сети.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Арт-стратегия; карта пространств; commissioned art или подборка; объект; коллекционная политика; реестр; медийные права; события и обслуживание.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Аудит 2–4 недели; стратегия 4–8; отбор 4–8; проектирование 6–16; производство 3–12 месяцев.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Бренд-платформа, архитектура и BIM, маршруты, содержательные ограничения, бюджет, график, безопасность и правила закупки.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Связь с местом и брендом без превращения в логотип; provenance; безопасность; цифровой реестр; права; обслуживаемость.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Ротации, экскурсии, подарки, тиражи, ежегодный заказ, страхование, реставрация и программа территорий присутствия.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500"/>
        <w:gridCol w:w="4660"/>
      </w:tblGrid>
      <w:tr>
        <w:trPr>
          <w:tblHeader w:val="true"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838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Пакет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838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00838F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Арт-стратегия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1,5–5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Цели, места, принципы отбора и бюджет.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Один объект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8–50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Commissioned art, производство и монтаж.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Здание / квартал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25–150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Несколько произведений и коммуникационная программа.</w:t>
            </w:r>
          </w:p>
        </w:tc>
      </w:tr>
      <w:tr>
        <w:tc>
          <w:tcPr>
            <w:tcW w:type="dxa" w:w="22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Кампус / портфель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100–500+ млн ₽</w:t>
            </w:r>
          </w:p>
        </w:tc>
        <w:tc>
          <w:tcPr>
            <w:tcW w:type="dxa" w:w="46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Повторяемый заказ на нескольких территориях.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ЭКОНОМИКА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Управление commissioned art — фиксированная цена либо 8–15% художественного бюджета. Для приобретения готовых работ применяется отдельная комиссия Select / Salon.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13">
        <w:r>
          <w:rPr>
            <w:rFonts w:ascii="Arial" w:hAnsi="Arial"/>
            <w:color w:val="626262"/>
            <w:sz w:val="14"/>
            <w:u w:val="single"/>
          </w:rPr>
          <w:t>STONE ART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8">
        <w:r>
          <w:rPr>
            <w:rFonts w:ascii="Arial" w:hAnsi="Arial"/>
            <w:color w:val="626262"/>
            <w:sz w:val="14"/>
            <w:u w:val="single"/>
          </w:rPr>
          <w:t>FORMA PORTLAND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29">
        <w:r>
          <w:rPr>
            <w:rFonts w:ascii="Arial" w:hAnsi="Arial"/>
            <w:color w:val="626262"/>
            <w:sz w:val="14"/>
            <w:u w:val="single"/>
          </w:rPr>
          <w:t>Контракт 223-ФЗ 54,889 млн ₽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B27A00"/>
          <w:sz w:val="16"/>
        </w:rPr>
        <w:t>07  ПРОДАЖА ИСКУССТВА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 Select / Salon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Кураторский канал для готовых произведений с проверяемыми provenance, состоянием, ценой, логистикой и раздельным оформлением прав.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90-дневный закрытый пилот: 25–30 авторов, 60–80 работ, одна тема, 20 потенциальных клиентов, каталог, закрытый просмотр и персональные подборки.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Коллекционеры, архитекторы и дизайнеры, семейные офисы, корпорации, гостиницы и покупатели подарков высокого уровня.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Каталог или shortlist; condition report и provenance; договор и акт; страхование, обрамление, доставка и монтаж; отдельная лицензия при необходимости.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Onboarding 2–4 недели; персональный shortlist 5–7 рабочих дней; сделка 1–3 недели; доставка 2–6; салон 10–16 недель.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Входные данные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От автора: техника, размеры, состояние, происхождение, права, цена и налоговый статус. От покупателя: бюджет, интерьер, срок и объём прав.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Владелец и происхождение подтверждены; единая цена; прозрачная комиссия; хорошие изображения; страхование; никаких обещаний доходности.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Обрамление, монтаж, управление коллекцией, реставрация, экспертиза материалов, страхование, аренда и ротация.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500"/>
        <w:gridCol w:w="43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27A0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Механизм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27A0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B27A0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Art advisory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150–600 тыс. ₽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Персональный бриф, подбор и сопровождение сделки.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Корпоративная подборка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1–10+ млн ₽ бюджет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Несколько произведений, доставка и установка.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Тематический салон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3–12 млн ₽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Кураторство, каталог, просмотр и продажи.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Комиссия оператора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30–35%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Рабочий ориентир; логистика и права оплачиваются отдельно.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ПРАВОВАЯ ГРАНИЦА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Постоянная комиссионная торговля готовыми произведениями художников прямо не описана в Уставе РАХ. Безопаснее запускать через отдельного оператора с подходящим уставом либо после специального юридического заключения.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0">
        <w:r>
          <w:rPr>
            <w:rFonts w:ascii="Arial" w:hAnsi="Arial"/>
            <w:color w:val="626262"/>
            <w:sz w:val="14"/>
            <w:u w:val="single"/>
          </w:rPr>
          <w:t>Royal Academy: комиссия 35%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1">
        <w:r>
          <w:rPr>
            <w:rFonts w:ascii="Arial" w:hAnsi="Arial"/>
            <w:color w:val="626262"/>
            <w:sz w:val="14"/>
            <w:u w:val="single"/>
          </w:rPr>
          <w:t>РАХ–УПРАВИС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2">
        <w:r>
          <w:rPr>
            <w:rFonts w:ascii="Arial" w:hAnsi="Arial"/>
            <w:color w:val="626262"/>
            <w:sz w:val="14"/>
            <w:u w:val="single"/>
          </w:rPr>
          <w:t>ГК РФ, статья 1293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5B6270"/>
          <w:sz w:val="16"/>
        </w:rPr>
        <w:t>08  СЕРИИ И ПРАВА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РАХ Editions &amp; Licensing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Контролируемый авторский тираж или лицензированный образ с мастер-эталоном, нумерацией, паспортами, учётом экземпляров и прозрачным роялти.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5B627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5B6270"/>
                <w:sz w:val="15"/>
              </w:rPr>
              <w:t xml:space="preserve">ПЕРВЫЙ ОФФЕР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«RAH Editions 01» — 12 недель: три автора, три продукта, аудит прав, прототипы, калькуляция, паспорта серий и предпродажи. Разработка 3–8 млн ₽ без полного тиража.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72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Параметр</w:t>
            </w:r>
          </w:p>
        </w:tc>
        <w:tc>
          <w:tcPr>
            <w:tcW w:type="dxa" w:w="7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Паспорт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Клиенты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Корпорации, музеи, регионы, девелоперы, гостиницы, издательства, коллекционеры и магазины культурных институций.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Результат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Пакет прав; мастер; прототип; утверждённый тираж; нумерованные экземпляры; сертификаты; упаковка; канал продаж; royalty statements.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Форматы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Малая пластика, рельефы, графика, fine-art prints, керамика, стекло, текстиль, декор, подарки, книги и цифровые кампании.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Срок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Аудит и бриф 2–4 недели; прототип 4–10; подготовка производства 4–8; первый тираж 2–6 месяцев; лицензия 3–6 недель.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Качество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Эталон; учёт каждого экземпляра; отсутствие сверхтиража; стабильные материалы; маркировка; royalty-отчётность и право аудита.</w:t>
            </w:r>
          </w:p>
        </w:tc>
      </w:tr>
      <w:tr>
        <w:tc>
          <w:tcPr>
            <w:tcW w:type="dxa" w:w="21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Допродажи</w:t>
            </w:r>
          </w:p>
        </w:tc>
        <w:tc>
          <w:tcPr>
            <w:tcW w:type="dxa" w:w="72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Ежегодные коллекции, специальные серии, музейный магазин, донорские тиражи, фильм, расширение территории и повторный срок лицензии.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2500"/>
        <w:gridCol w:w="43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5B627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Механизм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5B627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Рабочая гипотеза без НДС</w:t>
            </w:r>
          </w:p>
        </w:tc>
        <w:tc>
          <w:tcPr>
            <w:tcW w:type="dxa" w:w="4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5B6270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Примечание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Аудит продукта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0,4–1 млн ₽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Права, формат, тираж и каналы.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Прототип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0,5–5 млн ₽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Мастер, технология и калькуляция.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Первая партия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2–25 млн ₽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Производство и упаковка; зависит от материала.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Лицензия</w:t>
            </w:r>
          </w:p>
        </w:tc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0,3–3 млн ₽ + 5–15%</w:t>
            </w:r>
          </w:p>
        </w:tc>
        <w:tc>
          <w:tcPr>
            <w:tcW w:type="dxa" w:w="4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Минимальная гарантия плюс роялти от согласованной базы.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ДОГОВОР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Фиксируются способы использования, территория, срок, каналы, лимит тиража, материал, размер, мастер, нумерация, роялти, аудит, судьба форм и файлов, брак и запрет дополнительного выпуска.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3">
        <w:r>
          <w:rPr>
            <w:rFonts w:ascii="Arial" w:hAnsi="Arial"/>
            <w:color w:val="626262"/>
            <w:sz w:val="14"/>
            <w:u w:val="single"/>
          </w:rPr>
          <w:t>Устав РАХ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4">
        <w:r>
          <w:rPr>
            <w:rFonts w:ascii="Arial" w:hAnsi="Arial"/>
            <w:color w:val="626262"/>
            <w:sz w:val="14"/>
            <w:u w:val="single"/>
          </w:rPr>
          <w:t>Фонд РАХ: ограниченные тиражи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1">
        <w:r>
          <w:rPr>
            <w:rFonts w:ascii="Arial" w:hAnsi="Arial"/>
            <w:color w:val="626262"/>
            <w:sz w:val="14"/>
            <w:u w:val="single"/>
          </w:rPr>
          <w:t>РАХ–УПРАВИС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111111"/>
          <w:sz w:val="16"/>
        </w:rPr>
        <w:t>09  ДОГОВОРНЫЙ СТАНДАРТ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Правила цены, прав и закупки для всех продуктов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Каждый проект проходит юридический pre-flight до бесплатной творческой разработки и до обещания заказчику способа закупки.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Контроль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Обязательное правило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Автор и оригинал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Членство в РАХ не передаёт прав. Продажа оригинала не равна передаче авторских прав. Для нового произведения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авторский заказ.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Способы использования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Перечислить производство, масштаб, материал, фото и видео, интернет, рекламу, каталог, 3D, тиражи, перемещение, реставрацию, территорию, срок и сублицензирование.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Бренд РАХ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Логотип и имя РАХ используются только на основании письменного разрешения и утверждённого регламента качества.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44-ФЗ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Пункты 13, 17 и 19 статьи 93 не дают автоматического права на прямой договор полного цикла; единый хозяйственный результат нельзя искусственно дробить.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СРО и лицензии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По каждому договору проверять актуальный предмет допуска и исполнителя. Проектное членство Фонда прекращено 17.12.2025; строительное подтверждено с 19.03.2026.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Связанные стороны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При сделке РАХ–Фонд: раскрытие заинтересованности, независимое сравнение условий, необходимые одобрения, разные уполномоченные подписанты и раздельный учёт.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Деньги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1111"/>
                <w:sz w:val="16"/>
              </w:rPr>
              <w:t xml:space="preserve">Аванс покрывает необратимые начальные расходы; следующие платежи следуют контрольным точкам G1–G6. Производство — </w:t>
            </w:r>
            <w:r>
              <w:rPr>
                <w:rFonts w:ascii="Arial" w:hAnsi="Arial" w:eastAsia="Arial"/>
                <w:b w:val="0"/>
                <w:color w:val="111111"/>
                <w:sz w:val="16"/>
              </w:rPr>
              <w:t>по прозрачной смете и котировкам.</w:t>
            </w:r>
          </w:p>
        </w:tc>
      </w:tr>
      <w:tr>
        <w:tc>
          <w:tcPr>
            <w:tcW w:type="dxa" w:w="25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Изменения</w:t>
            </w:r>
          </w:p>
        </w:tc>
        <w:tc>
          <w:tcPr>
            <w:tcW w:type="dxa" w:w="68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Смена материала, масштаба, места, текста и состава работ оформляется change order с влиянием на цену, срок, права и гарантию.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A538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A5382B"/>
                <w:sz w:val="15"/>
              </w:rPr>
              <w:t xml:space="preserve">ЗАПРЕТ НА ДВОЙНУЮ МОДЕЛЬ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Для одного и того же объёма оператор выбирает фиксированный fee или процент управления. Комиссии, роялти и скрытая производственная наценка не должны механически наслаиваться.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5">
        <w:r>
          <w:rPr>
            <w:rFonts w:ascii="Arial" w:hAnsi="Arial"/>
            <w:color w:val="626262"/>
            <w:sz w:val="14"/>
            <w:u w:val="single"/>
          </w:rPr>
          <w:t>ГК РФ, статья 1291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6">
        <w:r>
          <w:rPr>
            <w:rFonts w:ascii="Arial" w:hAnsi="Arial"/>
            <w:color w:val="626262"/>
            <w:sz w:val="14"/>
            <w:u w:val="single"/>
          </w:rPr>
          <w:t>ГК РФ, статья 1288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7">
        <w:r>
          <w:rPr>
            <w:rFonts w:ascii="Arial" w:hAnsi="Arial"/>
            <w:color w:val="626262"/>
            <w:sz w:val="14"/>
            <w:u w:val="single"/>
          </w:rPr>
          <w:t>44-ФЗ, статья 93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8">
        <w:r>
          <w:rPr>
            <w:rFonts w:ascii="Arial" w:hAnsi="Arial"/>
            <w:color w:val="626262"/>
            <w:sz w:val="14"/>
            <w:u w:val="single"/>
          </w:rPr>
          <w:t>Логотип РАХ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9">
        <w:r>
          <w:rPr>
            <w:rFonts w:ascii="Arial" w:hAnsi="Arial"/>
            <w:color w:val="626262"/>
            <w:sz w:val="14"/>
            <w:u w:val="single"/>
          </w:rPr>
          <w:t>Строительное СРО Фонда</w:t>
        </w:r>
      </w:hyperlink>
    </w:p>
    <w:p>
      <w:r>
        <w:br w:type="page"/>
      </w:r>
    </w:p>
    <w:p>
      <w:pPr>
        <w:keepNext/>
        <w:spacing w:before="0" w:after="80"/>
      </w:pPr>
      <w:r>
        <w:rPr>
          <w:rFonts w:ascii="Arial" w:hAnsi="Arial" w:eastAsia="Arial"/>
          <w:b/>
          <w:color w:val="E34A2B"/>
          <w:sz w:val="16"/>
        </w:rPr>
        <w:t>10  ЗАПУСК ПОРТФЕЛЯ</w:t>
      </w:r>
    </w:p>
    <w:p>
      <w:pPr>
        <w:pStyle w:val="Heading1"/>
        <w:spacing w:after="160"/>
      </w:pPr>
      <w:r>
        <w:rPr>
          <w:rFonts w:ascii="Arial" w:hAnsi="Arial" w:eastAsia="Arial"/>
          <w:b/>
          <w:color w:val="111111"/>
          <w:sz w:val="42"/>
        </w:rPr>
        <w:t>Что выводить на рынок первым</w:t>
      </w:r>
    </w:p>
    <w:p>
      <w:pPr>
        <w:spacing w:after="200"/>
      </w:pPr>
      <w:r>
        <w:rPr>
          <w:rFonts w:ascii="Arial" w:hAnsi="Arial" w:eastAsia="Arial"/>
          <w:b w:val="0"/>
          <w:color w:val="626262"/>
          <w:sz w:val="22"/>
        </w:rPr>
        <w:t>Первые продукты выбираются не по простоте картинки, а по сочетанию подтверждённого спроса, крупного чека, сильных компетенций РАХ и возможности быстро продать оплачиваемый вход.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300"/>
        <w:gridCol w:w="2700"/>
        <w:gridCol w:w="3000"/>
        <w:gridCol w:w="2360"/>
      </w:tblGrid>
      <w:tr>
        <w:trPr>
          <w:tblHeader w:val="true"/>
        </w:trPr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Волна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Продукты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Первые адресаты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11111" w:val="clear"/>
            <w:tcBorders>
              <w:top w:val="single" w:sz="4" w:space="0" w:color="111111"/>
              <w:bottom w:val="single" w:sz="4" w:space="0" w:color="111111"/>
              <w:start w:val="single" w:sz="4" w:space="0" w:color="111111"/>
              <w:end w:val="single" w:sz="4" w:space="0" w:color="111111"/>
            </w:tcBorders>
          </w:tcPr>
          <w:p>
            <w:pPr>
              <w:spacing w:after="0"/>
              <w:jc w:val="left"/>
            </w:pPr>
            <w:r>
              <w:rPr>
                <w:rFonts w:ascii="Arial" w:hAnsi="Arial" w:eastAsia="Arial"/>
                <w:b/>
                <w:color w:val="FFFFFF"/>
                <w:sz w:val="15"/>
              </w:rPr>
              <w:t>Цель 90 дней</w:t>
            </w:r>
          </w:p>
        </w:tc>
      </w:tr>
      <w:tr>
        <w:tc>
          <w:tcPr>
            <w:tcW w:type="dxa" w:w="1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1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Арт в архитектуре; мемориалы; арт-код; корпоративное искусство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РВИО, НЦ «Россия», MR Group, STONE, ВДНХ, Чувашия</w:t>
            </w:r>
          </w:p>
        </w:tc>
        <w:tc>
          <w:tcPr>
            <w:tcW w:type="dxa" w:w="2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2–4 оплачиваемых входа; один частный и один институциональный пилот.</w:t>
            </w:r>
          </w:p>
        </w:tc>
      </w:tr>
      <w:tr>
        <w:tc>
          <w:tcPr>
            <w:tcW w:type="dxa" w:w="1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2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Наследие; музей и экспозиция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ДОМ.РФ, РЖД, ВДНХ, Минкультуры, музеи и филиалы НЦ</w:t>
            </w:r>
          </w:p>
        </w:tc>
        <w:tc>
          <w:tcPr>
            <w:tcW w:type="dxa" w:w="2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Два инвестиционных паспорта ОКН и один экспозиционный спринт.</w:t>
            </w:r>
          </w:p>
        </w:tc>
      </w:tr>
      <w:tr>
        <w:tc>
          <w:tcPr>
            <w:tcW w:type="dxa" w:w="13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3</w:t>
            </w:r>
          </w:p>
        </w:tc>
        <w:tc>
          <w:tcPr>
            <w:tcW w:type="dxa" w:w="27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Select / Salon; Editions &amp; Licensing</w:t>
            </w:r>
          </w:p>
        </w:tc>
        <w:tc>
          <w:tcPr>
            <w:tcW w:type="dxa" w:w="300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Корпоративные клиенты, коллекционеры, музейные магазины</w:t>
            </w:r>
          </w:p>
        </w:tc>
        <w:tc>
          <w:tcPr>
            <w:tcW w:type="dxa" w:w="2360"/>
            <w:tcBorders>
              <w:top w:val="single" w:sz="4" w:space="0" w:color="D8D5CF"/>
              <w:bottom w:val="single" w:sz="4" w:space="0" w:color="D8D5CF"/>
              <w:start w:val="single" w:sz="4" w:space="0" w:color="D8D5CF"/>
              <w:end w:val="single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color w:val="111111"/>
                <w:sz w:val="16"/>
              </w:rPr>
              <w:t>Закрытый пилот продаж и три прототипа тиражей после юридической проверки.</w:t>
            </w:r>
          </w:p>
        </w:tc>
      </w:tr>
    </w:tbl>
    <w:p>
      <w:pPr>
        <w:spacing w:after="0"/>
      </w:pPr>
    </w:p>
    <w:p>
      <w:pPr>
        <w:pStyle w:val="Heading2"/>
        <w:spacing w:before="140" w:after="60"/>
      </w:pPr>
      <w:r>
        <w:rPr>
          <w:rFonts w:ascii="Arial" w:hAnsi="Arial" w:eastAsia="Arial"/>
          <w:b/>
          <w:color w:val="111111"/>
          <w:sz w:val="24"/>
        </w:rPr>
        <w:t>Минимальный комплект до первого выхода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19"/>
        </w:rPr>
        <w:t>Одностраничный паспорт продукта и отдельный account brief под конкретный объект.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19"/>
        </w:rPr>
        <w:t>Три уровня результата, график и бюджетный диапазон с указанием состава цены.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19"/>
        </w:rPr>
        <w:t>Квалификационный пакет РАХ, оператора и технических партнёров; актуальные лицензии и СРО.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19"/>
        </w:rPr>
        <w:t>Шаблон брифа, NDA, авторского заказа, лицензии, производства и change order.</w:t>
      </w:r>
    </w:p>
    <w:p>
      <w:pPr>
        <w:pStyle w:val="ListBullet"/>
      </w:pPr>
      <w:r>
        <w:rPr>
          <w:rFonts w:ascii="Arial" w:hAnsi="Arial" w:eastAsia="Arial"/>
          <w:b w:val="0"/>
          <w:color w:val="111111"/>
          <w:sz w:val="19"/>
        </w:rPr>
        <w:t>Не менее трёх релевантных доказательств: собственные кейсы либо честно маркированные рыночные аналоги.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E34A2B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E34A2B"/>
                <w:sz w:val="15"/>
              </w:rPr>
              <w:t xml:space="preserve">СЛЕДУЮЩИЙ ПРОДУКТОВЫЙ ШАГ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На основе этих паспортов подготовить 10 персональных двухстраничных предложений: объект, задача, оплачиваемый результат за 2–10 недель, команда, диапазон, правовая модель и конкретное решение со стороны заказчика.</w:t>
            </w:r>
          </w:p>
        </w:tc>
      </w:tr>
    </w:tbl>
    <w:p>
      <w:pPr>
        <w:spacing w:after="20" w:before="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3F1EC" w:val="clear"/>
            <w:tcBorders>
              <w:start w:val="single" w:sz="18" w:space="0" w:color="B27A00"/>
              <w:top w:val="nil" w:sz="4" w:space="0" w:color="D8D5CF"/>
              <w:bottom w:val="nil" w:sz="4" w:space="0" w:color="D8D5CF"/>
              <w:end w:val="nil" w:sz="4" w:space="0" w:color="D8D5CF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B27A00"/>
                <w:sz w:val="15"/>
              </w:rPr>
              <w:t xml:space="preserve">ОГОВОРКА О ЦЕНАХ  </w:t>
            </w:r>
            <w:r>
              <w:rPr>
                <w:rFonts w:ascii="Arial" w:hAnsi="Arial" w:eastAsia="Arial"/>
                <w:b w:val="0"/>
                <w:color w:val="111111"/>
                <w:sz w:val="20"/>
              </w:rPr>
              <w:t>Все суммы приведены как рабочие гипотезы в ценах 2026 года без НДС. Перед КП они проверяются по исходным данным, календарю, правам, налоговой модели и минимум трём производственным котировкам.</w:t>
            </w:r>
          </w:p>
        </w:tc>
      </w:tr>
    </w:tbl>
    <w:p>
      <w:pPr>
        <w:spacing w:after="20" w:before="0"/>
      </w:pPr>
    </w:p>
    <w:p>
      <w:pPr>
        <w:keepLines/>
        <w:spacing w:before="100" w:after="0"/>
      </w:pPr>
      <w:r>
        <w:rPr>
          <w:rFonts w:ascii="Arial" w:hAnsi="Arial" w:eastAsia="Arial"/>
          <w:b/>
          <w:color w:val="626262"/>
          <w:sz w:val="14"/>
        </w:rPr>
        <w:t xml:space="preserve">ИСТОЧНИКИ  </w:t>
      </w:r>
      <w:hyperlink r:id="rId33">
        <w:r>
          <w:rPr>
            <w:rFonts w:ascii="Arial" w:hAnsi="Arial"/>
            <w:color w:val="626262"/>
            <w:sz w:val="14"/>
            <w:u w:val="single"/>
          </w:rPr>
          <w:t>Устав РАХ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34">
        <w:r>
          <w:rPr>
            <w:rFonts w:ascii="Arial" w:hAnsi="Arial"/>
            <w:color w:val="626262"/>
            <w:sz w:val="14"/>
            <w:u w:val="single"/>
          </w:rPr>
          <w:t>Фонд РАХ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40">
        <w:r>
          <w:rPr>
            <w:rFonts w:ascii="Arial" w:hAnsi="Arial"/>
            <w:color w:val="626262"/>
            <w:sz w:val="14"/>
            <w:u w:val="single"/>
          </w:rPr>
          <w:t>GSA: 0,5% — внешний ориентир</w:t>
        </w:r>
      </w:hyperlink>
      <w:r>
        <w:rPr>
          <w:rFonts w:ascii="Arial" w:hAnsi="Arial" w:eastAsia="Arial"/>
          <w:color w:val="626262"/>
          <w:sz w:val="14"/>
        </w:rPr>
        <w:t xml:space="preserve">  ·  </w:t>
      </w:r>
      <w:hyperlink r:id="rId41">
        <w:r>
          <w:rPr>
            <w:rFonts w:ascii="Arial" w:hAnsi="Arial"/>
            <w:color w:val="626262"/>
            <w:sz w:val="14"/>
            <w:u w:val="single"/>
          </w:rPr>
          <w:t>Франция: 1% artistique</w:t>
        </w:r>
      </w:hyperlink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37" w:right="1440" w:bottom="1037" w:left="1440" w:header="490" w:footer="49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color w:val="62626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color w:val="626262"/>
        <w:sz w:val="15"/>
      </w:rPr>
      <w:t>РАХ / ПАСПОРТА ПРОДУКТОВ</w:t>
    </w:r>
    <w:r>
      <w:rPr>
        <w:rFonts w:ascii="Arial" w:hAnsi="Arial" w:eastAsia="Arial"/>
        <w:color w:val="626262"/>
        <w:sz w:val="15"/>
      </w:rPr>
      <w:t xml:space="preserve">  /  Рабочая версия 1.0 · 31.08.2026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4" w:lineRule="auto"/>
    </w:pPr>
    <w:rPr>
      <w:rFonts w:ascii="Arial" w:hAnsi="Arial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20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11111"/>
      <w:spacing w:val="5"/>
      <w:kern w:val="28"/>
      <w:sz w:val="6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" w:hAnsi="Arial"/>
      <w:i w:val="0"/>
      <w:iCs/>
      <w:color w:val="111111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70" w:line="264" w:lineRule="auto"/>
      <w:ind w:left="547" w:hanging="274"/>
      <w:contextualSpacing/>
    </w:pPr>
    <w:rPr>
      <w:rFonts w:ascii="Arial" w:hAnsi="Arial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70" w:line="264" w:lineRule="auto"/>
      <w:ind w:left="547" w:hanging="274"/>
      <w:contextualSpacing/>
    </w:pPr>
    <w:rPr>
      <w:rFonts w:ascii="Arial" w:hAnsi="Arial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yperlink" Target="https://art.stone.ru/" TargetMode="External"/><Relationship Id="rId14" Type="http://schemas.openxmlformats.org/officeDocument/2006/relationships/hyperlink" Target="https://www.mr-group.ru/news/khudozhniki-art-fabriki-razrabotayut-8-skulptur-dlya-zhilykh-kompleksov-mr-group-kotorye-budut-preds/" TargetMode="External"/><Relationship Id="rId15" Type="http://schemas.openxmlformats.org/officeDocument/2006/relationships/hyperlink" Target="https://www.publicartfund.org/expertise/services/" TargetMode="External"/><Relationship Id="rId16" Type="http://schemas.openxmlformats.org/officeDocument/2006/relationships/hyperlink" Target="https://rah.ru/news/detail.php?ID=62272" TargetMode="External"/><Relationship Id="rId17" Type="http://schemas.openxmlformats.org/officeDocument/2006/relationships/hyperlink" Target="https://zakupki.kontur.ru/customers/6164133138" TargetMode="External"/><Relationship Id="rId18" Type="http://schemas.openxmlformats.org/officeDocument/2006/relationships/hyperlink" Target="https://culture.gov.ru/about/national-project/natsionalnyy-proekt-semya/" TargetMode="External"/><Relationship Id="rId19" Type="http://schemas.openxmlformats.org/officeDocument/2006/relationships/hyperlink" Target="https://www.mos.ru/upload/documents/files/942/AktCherkasskiiMperd2sECP.pdf" TargetMode="External"/><Relationship Id="rId20" Type="http://schemas.openxmlformats.org/officeDocument/2006/relationships/hyperlink" Target="https://government.ru/news/54891/" TargetMode="External"/><Relationship Id="rId21" Type="http://schemas.openxmlformats.org/officeDocument/2006/relationships/hyperlink" Target="https://domrfbank.ru/press/print-media-and-online-media/bank-dom-rf-vydal-pervyy-kredit-na-vosstanovlenie-okn/" TargetMode="External"/><Relationship Id="rId22" Type="http://schemas.openxmlformats.org/officeDocument/2006/relationships/hyperlink" Target="https://rah.ru/news/detail.php?ID=57311" TargetMode="External"/><Relationship Id="rId23" Type="http://schemas.openxmlformats.org/officeDocument/2006/relationships/hyperlink" Target="https://rvio.ru/activities/news/deyatelnost-rvio-2021-monumentalnaya-propaganda" TargetMode="External"/><Relationship Id="rId24" Type="http://schemas.openxmlformats.org/officeDocument/2006/relationships/hyperlink" Target="https://zakupki.gov.ru/epz/order/notice/ok20/view/common-info.html?regNumber=0815500000526006614" TargetMode="External"/><Relationship Id="rId25" Type="http://schemas.openxmlformats.org/officeDocument/2006/relationships/hyperlink" Target="https://government.ru/docs/all/161065/" TargetMode="External"/><Relationship Id="rId26" Type="http://schemas.openxmlformats.org/officeDocument/2006/relationships/hyperlink" Target="https://government.ru/news/55993/" TargetMode="External"/><Relationship Id="rId27" Type="http://schemas.openxmlformats.org/officeDocument/2006/relationships/hyperlink" Target="https://russia.ru/news/sostoialos-pervoe-zasedanie-ekspertnogo-soveta-po-arxitekture-i-gradostroitelstvu-pri-nc-rossiia" TargetMode="External"/><Relationship Id="rId28" Type="http://schemas.openxmlformats.org/officeDocument/2006/relationships/hyperlink" Target="https://forma.ru/new/v-portland-sostoyalos-otkrytie-art-obuekta-obnimat" TargetMode="External"/><Relationship Id="rId29" Type="http://schemas.openxmlformats.org/officeDocument/2006/relationships/hyperlink" Target="https://zakupki.gov.ru/epz/contractfz223/card/contract-info.html?id=20395471" TargetMode="External"/><Relationship Id="rId30" Type="http://schemas.openxmlformats.org/officeDocument/2006/relationships/hyperlink" Target="https://summer.royalacademy.org.uk/Home/FAQ" TargetMode="External"/><Relationship Id="rId31" Type="http://schemas.openxmlformats.org/officeDocument/2006/relationships/hyperlink" Target="https://rah.ru/news/detail.php?ID=61692" TargetMode="External"/><Relationship Id="rId32" Type="http://schemas.openxmlformats.org/officeDocument/2006/relationships/hyperlink" Target="https://www.consultant.ru/document/cons_doc_LAW_64629/c82a186f7eb067f9bb6ad65fb42e6cb7e6d4a097/" TargetMode="External"/><Relationship Id="rId33" Type="http://schemas.openxmlformats.org/officeDocument/2006/relationships/hyperlink" Target="https://rah.ru/the_academy_today/ofitsialnye-dokumenty/ustav-rah.pdf" TargetMode="External"/><Relationship Id="rId34" Type="http://schemas.openxmlformats.org/officeDocument/2006/relationships/hyperlink" Target="https://fund-rah.ru/" TargetMode="External"/><Relationship Id="rId35" Type="http://schemas.openxmlformats.org/officeDocument/2006/relationships/hyperlink" Target="https://www.consultant.ru/document/cons_doc_LAW_64629/755d4c8eef0d90535de31caba82a59e06fc87cc0/" TargetMode="External"/><Relationship Id="rId36" Type="http://schemas.openxmlformats.org/officeDocument/2006/relationships/hyperlink" Target="https://www.consultant.ru/document/cons_doc_LAW_64629/8729a73d82e444f858aa833f74191fd5de2f508d/" TargetMode="External"/><Relationship Id="rId37" Type="http://schemas.openxmlformats.org/officeDocument/2006/relationships/hyperlink" Target="https://www.consultant.ru/document/cons_doc_LAW_144624/ab3273e757a9e718cbb3741596bc36eb8138e4f6/" TargetMode="External"/><Relationship Id="rId38" Type="http://schemas.openxmlformats.org/officeDocument/2006/relationships/hyperlink" Target="https://rah.ru/the_academy_today/ispolzovanie-logotipa-rakh/" TargetMode="External"/><Relationship Id="rId39" Type="http://schemas.openxmlformats.org/officeDocument/2006/relationships/hyperlink" Target="https://www.sro-mosk.ru/reestr/v/3530" TargetMode="External"/><Relationship Id="rId40" Type="http://schemas.openxmlformats.org/officeDocument/2006/relationships/hyperlink" Target="https://www.gsa.gov/about-gsa/newsroom/former-gsa-regional-news-archive/region-10-newsroom/feature-stories/gsa-celebrates-50-years-of-the-art-in-architecture-program-10132022" TargetMode="External"/><Relationship Id="rId41" Type="http://schemas.openxmlformats.org/officeDocument/2006/relationships/hyperlink" Target="https://www.culture.gouv.fr/thematiques/arts-plastiques/commande-artistique/Le-1-artistique" TargetMode="External"/><Relationship Id="rId42" Type="http://schemas.openxmlformats.org/officeDocument/2006/relationships/hyperlink" Target="https://city-archi-code.kor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Паспорта коммерческих продуктов РАХ</dc:title>
  <dc:subject>Восемь стандартных предложений для архитектуры, городской среды, наследия, музеев и корпоративных заказчиков</dc:subject>
  <dc:creator>РАХ</dc:creator>
  <cp:keywords>РАХ; проектный офис; искусство; архитектура; коммерческая стратегия</cp:keywords>
  <dc:description>Рабочая стратегическая версия; финансовые диапазоны являются управленческими гипотезами.</dc:description>
  <cp:lastModifiedBy>РАХ</cp:lastModifiedBy>
  <cp:revision>1</cp:revision>
  <dcterms:created xsi:type="dcterms:W3CDTF">2013-12-23T23:15:00Z</dcterms:created>
  <dcterms:modified xsi:type="dcterms:W3CDTF">2013-12-23T23:15:00Z</dcterms:modified>
  <cp:category/>
</cp:coreProperties>
</file>