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keepNext/>
        <w:spacing w:before="0" w:after="320"/>
      </w:pPr>
      <w:r>
        <w:rPr>
          <w:rFonts w:ascii="Arial" w:hAnsi="Arial" w:eastAsia="Arial"/>
          <w:b/>
          <w:color w:val="E34A2B"/>
          <w:sz w:val="16"/>
        </w:rPr>
        <w:t>РОССИЙСКАЯ АКАДЕМИЯ ХУДОЖЕСТВ · КОММЕРЧЕСКАЯ СТРАТЕГИЯ 2026–2027</w:t>
      </w:r>
    </w:p>
    <w:p>
      <w:pPr>
        <w:pStyle w:val="Title"/>
        <w:spacing w:after="200"/>
      </w:pPr>
      <w:r>
        <w:rPr>
          <w:rFonts w:ascii="Arial" w:hAnsi="Arial" w:eastAsia="Arial"/>
          <w:b/>
          <w:color w:val="111111"/>
          <w:sz w:val="66"/>
        </w:rPr>
        <w:t>Проектный офис художественных проектов РАХ</w:t>
      </w:r>
    </w:p>
    <w:p>
      <w:pPr>
        <w:pStyle w:val="Subtitle"/>
        <w:spacing w:after="560"/>
      </w:pPr>
      <w:r>
        <w:rPr>
          <w:rFonts w:ascii="Arial" w:hAnsi="Arial" w:eastAsia="Arial"/>
          <w:b w:val="0"/>
          <w:color w:val="626262"/>
          <w:sz w:val="29"/>
        </w:rPr>
        <w:t>Национальный оператор искусства для архитектуры, городской среды, наследия и институциональных заказов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23"/>
              </w:rPr>
              <w:t>РАХ целесообразно продавать не отдельные произведения, а управляемый полный цикл: художественное задание → автор → права → проектирование → производство → монтаж → сопровождение.</w:t>
            </w:r>
          </w:p>
        </w:tc>
      </w:tr>
    </w:tbl>
    <w:p>
      <w:pPr>
        <w:spacing w:after="240"/>
      </w:pP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ПРОЕКТ  </w:t>
      </w:r>
      <w:r>
        <w:rPr>
          <w:rFonts w:ascii="Arial" w:hAnsi="Arial" w:eastAsia="Arial"/>
          <w:color w:val="111111"/>
          <w:sz w:val="18"/>
        </w:rPr>
        <w:t>Проектный офис художественных проектов РАХ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АДРЕСАТЫ  </w:t>
      </w:r>
      <w:r>
        <w:rPr>
          <w:rFonts w:ascii="Arial" w:hAnsi="Arial" w:eastAsia="Arial"/>
          <w:color w:val="111111"/>
          <w:sz w:val="18"/>
        </w:rPr>
        <w:t>Президиум РАХ, Фонд РАХ, федеральные и корпоративные партнёры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ГОРИЗОНТ  </w:t>
      </w:r>
      <w:r>
        <w:rPr>
          <w:rFonts w:ascii="Arial" w:hAnsi="Arial" w:eastAsia="Arial"/>
          <w:color w:val="111111"/>
          <w:sz w:val="18"/>
        </w:rPr>
        <w:t>90-дневный запуск; первые договоры в 2026–2027 годах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ДАТА  </w:t>
      </w:r>
      <w:r>
        <w:rPr>
          <w:rFonts w:ascii="Arial" w:hAnsi="Arial" w:eastAsia="Arial"/>
          <w:color w:val="111111"/>
          <w:sz w:val="18"/>
        </w:rPr>
        <w:t>31 августа 2026 года</w:t>
      </w:r>
    </w:p>
    <w:p>
      <w:pPr>
        <w:spacing w:before="320" w:after="0"/>
      </w:pPr>
      <w:r>
        <w:rPr>
          <w:rFonts w:ascii="Arial" w:hAnsi="Arial" w:eastAsia="Arial"/>
          <w:i/>
          <w:color w:val="626262"/>
          <w:sz w:val="16"/>
        </w:rPr>
        <w:t>Рабочая концепция для обсуждения. Не является публичной офертой или утверждённым нормативным документом.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01  ИСПОЛНИТЕЛЬНОЕ РЕШЕНИЕ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Из собрания компетенций — в единого оператора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Юридическая возможность зарабатывать у РАХ уже есть. Главный дефицит — не талант и не полномочия, а единая продуктовая упаковка, продажи и ответственность за результат.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ПРЕДЛАГАЕМОЕ РЕШЕНИЕ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Учредить малый проектный офис, который принимает запрос заказчика и собирает под него междисциплинарную команду РАХ, автора, проектировщиков и производство.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40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целевых аккаунтов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20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встреч за 90 дней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оплачиваемых концепций / заявок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4–6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договоров за первый год</w:t>
            </w:r>
          </w:p>
        </w:tc>
      </w:tr>
    </w:tbl>
    <w:p>
      <w:pPr>
        <w:spacing w:after="2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Что требуется утвердить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Спонсор и руководитель офиса — </w:t>
      </w:r>
      <w:r>
        <w:rPr>
          <w:rFonts w:ascii="Arial" w:hAnsi="Arial" w:eastAsia="Arial"/>
          <w:b w:val="0"/>
          <w:color w:val="111111"/>
          <w:sz w:val="20"/>
        </w:rPr>
        <w:t>персональная ответственность за продажи, портфель и сроки.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Два договорных контура — </w:t>
      </w:r>
      <w:r>
        <w:rPr>
          <w:rFonts w:ascii="Arial" w:hAnsi="Arial" w:eastAsia="Arial"/>
          <w:b w:val="0"/>
          <w:color w:val="111111"/>
          <w:sz w:val="20"/>
        </w:rPr>
        <w:t>РАХ как бренд, эксперт и куратор; Фонд либо иной проверенный оператор как контрактный и производственный контур.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Восемь стандартных продуктов — </w:t>
      </w:r>
      <w:r>
        <w:rPr>
          <w:rFonts w:ascii="Arial" w:hAnsi="Arial" w:eastAsia="Arial"/>
          <w:b w:val="0"/>
          <w:color w:val="111111"/>
          <w:sz w:val="20"/>
        </w:rPr>
        <w:t>понятный результат, срок, цена входа, права и маршрут закупки.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Реестр авторов и команд — </w:t>
      </w:r>
      <w:r>
        <w:rPr>
          <w:rFonts w:ascii="Arial" w:hAnsi="Arial" w:eastAsia="Arial"/>
          <w:b w:val="0"/>
          <w:color w:val="111111"/>
          <w:sz w:val="20"/>
        </w:rPr>
        <w:t>только добровольное включение, прозрачные критерии, портфолио, ставки и доступность.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Пилот на 90 дней — </w:t>
      </w:r>
      <w:r>
        <w:rPr>
          <w:rFonts w:ascii="Arial" w:hAnsi="Arial" w:eastAsia="Arial"/>
          <w:b w:val="0"/>
          <w:color w:val="111111"/>
          <w:sz w:val="20"/>
        </w:rPr>
        <w:t>без капитального разрастания штата; решения принимаются по данным воронки.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СТАТУС ПОКАЗАТЕЛЕЙ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40 → 20 → 10 → 4–6 — целевая управленческая воронка, а не прогноз выручки.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3">
        <w:r>
          <w:rPr>
            <w:rFonts w:ascii="Arial" w:hAnsi="Arial"/>
            <w:color w:val="626262"/>
            <w:sz w:val="14"/>
            <w:u w:val="single"/>
          </w:rPr>
          <w:t>Устав РАХ, разделы II и VIII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02  ОСНОВАНИЕ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Почему РАХ имеет право и основание вести эту деятельность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Действующий устав прямо предусматривает экспертизу, проектную и творческую работу, платные услуги и создание произведений — от эскиза до изготовления и монтажа.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600"/>
        <w:gridCol w:w="38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Актив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Подтверждённая опора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Коммерческое значение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Устав РАХ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Пункты 15–18: консультации, экспертиза, проектирование, платные услуги, разовые произведения, участие в организациях.</w:t>
            </w:r>
          </w:p>
        </w:tc>
        <w:tc>
          <w:tcPr>
            <w:tcW w:type="dxa" w:w="3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Можно легально формировать услуги и договоры сверх государственного задания; доход используется на уставные цели.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Профессиональная сеть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15 творческих мастерских; в отделении скульптуры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более 50 членов; междисциплинарные отделения.</w:t>
            </w:r>
          </w:p>
        </w:tc>
        <w:tc>
          <w:tcPr>
            <w:tcW w:type="dxa" w:w="3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Возможность быстро собирать авторские команды разного масштаба и географии.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Материальная экспертиза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Петербургское отделение располагает лабораториями мозаики, стекла, гипсо-формовочных и иных материалов.</w:t>
            </w:r>
          </w:p>
        </w:tc>
        <w:tc>
          <w:tcPr>
            <w:tcW w:type="dxa" w:w="3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 только эскиз, но и технологическая проработка сложных художественных решений.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Фонд РАХ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На официальном сайте заявлены реставрация, фасады и интерьеры, мозаика, бронза, чугун, скульптура и тиражи.</w:t>
            </w:r>
          </w:p>
        </w:tc>
        <w:tc>
          <w:tcPr>
            <w:tcW w:type="dxa" w:w="3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Потенциальный контрактный и производственный оператор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после проверки полномочий, лицензий и допусков под конкретный договор.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КЛЮЧЕВОЕ ОТЛИЧИЕ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Сила РАХ — не эксклюзивное право на искусство, а сочетание академической экспертизы, известного имени, междисциплинарной сети и способности отвечать за качество полного цикла.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ГРАНИЦА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Доходы ФГБУ РАХ не являются распределяемой прибылью членов Академии; они должны направляться на уставные цели. Авторские и подрядные вознаграждения оформляются отдельными договорами.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3">
        <w:r>
          <w:rPr>
            <w:rFonts w:ascii="Arial" w:hAnsi="Arial"/>
            <w:color w:val="626262"/>
            <w:sz w:val="14"/>
            <w:u w:val="single"/>
          </w:rPr>
          <w:t>Устав РАХ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4">
        <w:r>
          <w:rPr>
            <w:rFonts w:ascii="Arial" w:hAnsi="Arial"/>
            <w:color w:val="626262"/>
            <w:sz w:val="14"/>
            <w:u w:val="single"/>
          </w:rPr>
          <w:t>Творческие мастерские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5">
        <w:r>
          <w:rPr>
            <w:rFonts w:ascii="Arial" w:hAnsi="Arial"/>
            <w:color w:val="626262"/>
            <w:sz w:val="14"/>
            <w:u w:val="single"/>
          </w:rPr>
          <w:t>Отделение скульптуры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6">
        <w:r>
          <w:rPr>
            <w:rFonts w:ascii="Arial" w:hAnsi="Arial"/>
            <w:color w:val="626262"/>
            <w:sz w:val="14"/>
            <w:u w:val="single"/>
          </w:rPr>
          <w:t>Фонд РАХ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03  СПРОС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Рынок уже существует — он разделён между десятками закупочных контуров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Государственные программы, девелопмент и корпоративные территории создают спрос на художественный компонент. РАХ необходимо входить в проект до завершения архитектурной концепции, а не после появления свободной стены.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30 000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общественных территорий к 2030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1 600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проектов конкурса к 2030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367,23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млрд ₽ на культурную инфраструктуру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1 000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ОКН к восстановлению к 2030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1500"/>
        <w:gridCol w:w="4560"/>
      </w:tblGrid>
      <w:tr>
        <w:trPr>
          <w:tblHeader w:val="true"/>
        </w:trP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Подтверждённый пример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Сумма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Что он показывает</w:t>
            </w:r>
          </w:p>
        </w:tc>
      </w:tr>
      <w:tr>
        <w:tc>
          <w:tcPr>
            <w:tcW w:type="dxa" w:w="3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Музейные экспозиционные контракты, Ростов-на-Дону</w:t>
            </w:r>
          </w:p>
        </w:tc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7,3–10,05 млн ₽</w:t>
            </w:r>
          </w:p>
        </w:tc>
        <w:tc>
          <w:tcPr>
            <w:tcW w:type="dxa" w:w="45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Даже региональная экспозиция покупается как отдельный проект с измеримым бюджетом.</w:t>
            </w:r>
          </w:p>
        </w:tc>
      </w:tr>
      <w:tr>
        <w:tc>
          <w:tcPr>
            <w:tcW w:type="dxa" w:w="3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Мозаика в Таганроге</w:t>
            </w:r>
          </w:p>
        </w:tc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НМЦК 9,671 млн ₽</w:t>
            </w:r>
          </w:p>
        </w:tc>
        <w:tc>
          <w:tcPr>
            <w:tcW w:type="dxa" w:w="45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Спрос есть, но закупка осталась без участников: заказчику нужен квалифицированный интегратор.</w:t>
            </w:r>
          </w:p>
        </w:tc>
      </w:tr>
      <w:tr>
        <w:tc>
          <w:tcPr>
            <w:tcW w:type="dxa" w:w="3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Корпоративный художественный пакет по 223-ФЗ</w:t>
            </w:r>
          </w:p>
        </w:tc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54,889 млн ₽</w:t>
            </w:r>
          </w:p>
        </w:tc>
        <w:tc>
          <w:tcPr>
            <w:tcW w:type="dxa" w:w="45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Корпоративный заказ может включать комплекс произведений, производство и поставку.</w:t>
            </w:r>
          </w:p>
        </w:tc>
      </w:tr>
      <w:tr>
        <w:tc>
          <w:tcPr>
            <w:tcW w:type="dxa" w:w="3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Этап мемориального комплекса в Чебоксарах</w:t>
            </w:r>
          </w:p>
        </w:tc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контракт 426,31 млн ₽</w:t>
            </w:r>
          </w:p>
        </w:tc>
        <w:tc>
          <w:tcPr>
            <w:tcW w:type="dxa" w:w="45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Крупный монументальный проект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это не только авторский гонорар, а строительство, инженерия, логистика и контроль.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МЕТОДИЧЕСКАЯ ОГОВОРКА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Приведённые суммы — отдельные закупочные примеры, а не среднерыночные цены и не прогноз для РАХ.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7">
        <w:r>
          <w:rPr>
            <w:rFonts w:ascii="Arial" w:hAnsi="Arial"/>
            <w:color w:val="626262"/>
            <w:sz w:val="14"/>
            <w:u w:val="single"/>
          </w:rPr>
          <w:t>Правительство: 30 тыс. территорий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8">
        <w:r>
          <w:rPr>
            <w:rFonts w:ascii="Arial" w:hAnsi="Arial"/>
            <w:color w:val="626262"/>
            <w:sz w:val="14"/>
            <w:u w:val="single"/>
          </w:rPr>
          <w:t>Минкультуры: нацпроект «Семья»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9">
        <w:r>
          <w:rPr>
            <w:rFonts w:ascii="Arial" w:hAnsi="Arial"/>
            <w:color w:val="626262"/>
            <w:sz w:val="14"/>
            <w:u w:val="single"/>
          </w:rPr>
          <w:t>Правительство: 1 000 ОКН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0">
        <w:r>
          <w:rPr>
            <w:rFonts w:ascii="Arial" w:hAnsi="Arial"/>
            <w:color w:val="626262"/>
            <w:sz w:val="14"/>
            <w:u w:val="single"/>
          </w:rPr>
          <w:t>Контракт 223-ФЗ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1">
        <w:r>
          <w:rPr>
            <w:rFonts w:ascii="Arial" w:hAnsi="Arial"/>
            <w:color w:val="626262"/>
            <w:sz w:val="14"/>
            <w:u w:val="single"/>
          </w:rPr>
          <w:t>Мемориал в Чебоксарах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04  МОДЕЛЬ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Один вход для заказчика, пять управляемых стадий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Проектный офис превращает разовый творческий запрос в прозрачный процесс с контрольными точками, бюджетом и ответственными.</w:t>
      </w:r>
    </w:p>
    <w:p>
      <w:pPr>
        <w:spacing w:after="70" w:line="264" w:lineRule="auto"/>
        <w:numPr>
          <w:ilvl w:val="0"/>
          <w:numId w:val="10"/>
        </w:numPr>
      </w:pPr>
      <w:r>
        <w:rPr>
          <w:rFonts w:ascii="Arial" w:hAnsi="Arial" w:eastAsia="Arial"/>
          <w:b/>
          <w:color w:val="111111"/>
          <w:sz w:val="20"/>
        </w:rPr>
        <w:t xml:space="preserve">Диагностика места и задачи — </w:t>
      </w:r>
      <w:r>
        <w:rPr>
          <w:rFonts w:ascii="Arial" w:hAnsi="Arial" w:eastAsia="Arial"/>
          <w:b w:val="0"/>
          <w:color w:val="111111"/>
          <w:sz w:val="20"/>
        </w:rPr>
        <w:t>цели заказчика, аудитория, контекст, ограничения, бюджетный коридор и маршрут согласований.</w:t>
      </w:r>
    </w:p>
    <w:p>
      <w:pPr>
        <w:spacing w:after="70" w:line="264" w:lineRule="auto"/>
        <w:numPr>
          <w:ilvl w:val="0"/>
          <w:numId w:val="10"/>
        </w:numPr>
      </w:pPr>
      <w:r>
        <w:rPr>
          <w:rFonts w:ascii="Arial" w:hAnsi="Arial" w:eastAsia="Arial"/>
          <w:b/>
          <w:color w:val="111111"/>
          <w:sz w:val="20"/>
        </w:rPr>
        <w:t xml:space="preserve">Художественное задание и отбор автора — </w:t>
      </w:r>
      <w:r>
        <w:rPr>
          <w:rFonts w:ascii="Arial" w:hAnsi="Arial" w:eastAsia="Arial"/>
          <w:b w:val="0"/>
          <w:color w:val="111111"/>
          <w:sz w:val="20"/>
        </w:rPr>
        <w:t>кураторская рамка, шорт-лист, конкурс либо адресная комиссия с обоснованием.</w:t>
      </w:r>
    </w:p>
    <w:p>
      <w:pPr>
        <w:spacing w:after="70" w:line="264" w:lineRule="auto"/>
        <w:numPr>
          <w:ilvl w:val="0"/>
          <w:numId w:val="10"/>
        </w:numPr>
      </w:pPr>
      <w:r>
        <w:rPr>
          <w:rFonts w:ascii="Arial" w:hAnsi="Arial" w:eastAsia="Arial"/>
          <w:b/>
          <w:color w:val="111111"/>
          <w:sz w:val="20"/>
        </w:rPr>
        <w:t xml:space="preserve">Проектирование и права — </w:t>
      </w:r>
      <w:r>
        <w:rPr>
          <w:rFonts w:ascii="Arial" w:hAnsi="Arial" w:eastAsia="Arial"/>
          <w:b w:val="0"/>
          <w:color w:val="111111"/>
          <w:sz w:val="20"/>
        </w:rPr>
        <w:t>эскиз, рабочая документация, инженерная увязка, смета, лицензия или отчуждение прав.</w:t>
      </w:r>
    </w:p>
    <w:p>
      <w:pPr>
        <w:spacing w:after="70" w:line="264" w:lineRule="auto"/>
        <w:numPr>
          <w:ilvl w:val="0"/>
          <w:numId w:val="10"/>
        </w:numPr>
      </w:pPr>
      <w:r>
        <w:rPr>
          <w:rFonts w:ascii="Arial" w:hAnsi="Arial" w:eastAsia="Arial"/>
          <w:b/>
          <w:color w:val="111111"/>
          <w:sz w:val="20"/>
        </w:rPr>
        <w:t xml:space="preserve">Производство и монтаж — </w:t>
      </w:r>
      <w:r>
        <w:rPr>
          <w:rFonts w:ascii="Arial" w:hAnsi="Arial" w:eastAsia="Arial"/>
          <w:b w:val="0"/>
          <w:color w:val="111111"/>
          <w:sz w:val="20"/>
        </w:rPr>
        <w:t>квалификация подрядчиков, образцы, контроль качества, логистика, авторский и технический надзор.</w:t>
      </w:r>
    </w:p>
    <w:p>
      <w:pPr>
        <w:spacing w:after="70" w:line="264" w:lineRule="auto"/>
        <w:numPr>
          <w:ilvl w:val="0"/>
          <w:numId w:val="10"/>
        </w:numPr>
      </w:pPr>
      <w:r>
        <w:rPr>
          <w:rFonts w:ascii="Arial" w:hAnsi="Arial" w:eastAsia="Arial"/>
          <w:b/>
          <w:color w:val="111111"/>
          <w:sz w:val="20"/>
        </w:rPr>
        <w:t xml:space="preserve">Ввод и сопровождение — </w:t>
      </w:r>
      <w:r>
        <w:rPr>
          <w:rFonts w:ascii="Arial" w:hAnsi="Arial" w:eastAsia="Arial"/>
          <w:b w:val="0"/>
          <w:color w:val="111111"/>
          <w:sz w:val="20"/>
        </w:rPr>
        <w:t>паспорта объекта, гарантия, обслуживание, коммуникационная история и оценка эффекта.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100"/>
        <w:gridCol w:w="43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Контур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Ответственность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РАХ</w:t>
            </w:r>
          </w:p>
        </w:tc>
        <w:tc>
          <w:tcPr>
            <w:tcW w:type="dxa" w:w="3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Бренд, экспертный совет, кураторская и научная экспертиза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Стандарт качества, выбор метода, подтверждение профессионального уровня.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Фонд / оператор</w:t>
            </w:r>
          </w:p>
        </w:tc>
        <w:tc>
          <w:tcPr>
            <w:tcW w:type="dxa" w:w="3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Продажи, договор, бюджет, подрядчики, производство, логистика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7"/>
              </w:rPr>
              <w:t xml:space="preserve">Срок, стоимость, документация, гарантия — </w:t>
            </w:r>
            <w:r>
              <w:rPr>
                <w:rFonts w:ascii="Arial" w:hAnsi="Arial" w:eastAsia="Arial"/>
                <w:b w:val="0"/>
                <w:color w:val="111111"/>
                <w:sz w:val="17"/>
              </w:rPr>
              <w:t>только в пределах подтверждённых лицензий и допусков.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Автор / команда</w:t>
            </w:r>
          </w:p>
        </w:tc>
        <w:tc>
          <w:tcPr>
            <w:tcW w:type="dxa" w:w="3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Концепция, произведение, авторский надзор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Оригинальность, авторские права, соответствие утверждённому заданию.</w:t>
            </w:r>
          </w:p>
        </w:tc>
      </w:tr>
      <w:tr>
        <w:tc>
          <w:tcPr>
            <w:tcW w:type="dxa" w:w="1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Производственные партнёры</w:t>
            </w:r>
          </w:p>
        </w:tc>
        <w:tc>
          <w:tcPr>
            <w:tcW w:type="dxa" w:w="3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Проектирование, литьё, камень, мозаика, монтаж, реставрация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Технология, безопасность, исполнительная документация и гарантийные обязательства.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ПРАВИЛО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Заказчик покупает единый результат и единую точку ответственности; внутри проекта сохраняются авторская автономия, прозрачный выбор и раздельный учёт денег.</w:t>
            </w:r>
          </w:p>
        </w:tc>
      </w:tr>
    </w:tbl>
    <w:p>
      <w:pPr>
        <w:spacing w:after="20" w:before="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05  ПОРТФЕЛЬ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Восемь продуктов вместо неопределённого «можем сделать искусство»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Каждый продукт должен иметь паспорт: клиент, результат, состав работ, срок, цена входа, права, закупочный маршрут, требования к оператору и первый оплачиваемый шаг.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700"/>
        <w:gridCol w:w="41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Продукт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Основной заказчик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Покупаемый результат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01 · Арт в архитектуре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Девелопер, город, кампус, транспорт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Интегрированное произведение: от арт-брифа до монтажа и паспорта эксплуатации.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02 · Музей и экспозиция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Музей, регион, корпорация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Сценарий, художественное решение, графика, мультимедиа, изготовление и запуск.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03 · Наследие и адаптация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Владелец ОКН, ДОМ.РФ, инвестор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Реставрационная и художественная программа, возвращающая объект в использование.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04 · Мемориальные проекты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Регион, город, историческое общество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Конкурс, памятник или комплекс, благоустройство, производство и надзор.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05 · Арт-код территории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Регион, мастер-девелопер, наццентр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Система местных сюжетов, арт-узлов, заданий и очередности реализации.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06 · Корпоративное искусство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Корпорация, промышленная группа, банк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Коллекция, заказные произведения, арт-маршрут и программа для территории присутствия.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07 · РАХ Select / Salon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Коллекционер, бизнес, гостиница, офис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Кураторский подбор и продажа произведений с документами и логистикой.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08 · Тиражи и лицензирование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Бренд, музейный магазин, издатель</w:t>
            </w:r>
          </w:p>
        </w:tc>
        <w:tc>
          <w:tcPr>
            <w:tcW w:type="dxa" w:w="4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Легальные серии, принты, объекты и цифровые права с контролем качества.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16735A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6735A"/>
                <w:sz w:val="15"/>
              </w:rPr>
              <w:t xml:space="preserve">ПРИОРИТЕТ ЗАПУСКА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Первая волна: арт в архитектуре, мемориальные проекты, арт-код территории и корпоративное искусство. Они дают крупный чек, повторяемый спрос и используют сильнейшие компетенции РАХ.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22">
        <w:r>
          <w:rPr>
            <w:rFonts w:ascii="Arial" w:hAnsi="Arial"/>
            <w:color w:val="626262"/>
            <w:sz w:val="14"/>
            <w:u w:val="single"/>
          </w:rPr>
          <w:t>MR Group: 8 скульптур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3">
        <w:r>
          <w:rPr>
            <w:rFonts w:ascii="Arial" w:hAnsi="Arial"/>
            <w:color w:val="626262"/>
            <w:sz w:val="14"/>
            <w:u w:val="single"/>
          </w:rPr>
          <w:t>STONE: конкурс мозаики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6">
        <w:r>
          <w:rPr>
            <w:rFonts w:ascii="Arial" w:hAnsi="Arial"/>
            <w:color w:val="626262"/>
            <w:sz w:val="14"/>
            <w:u w:val="single"/>
          </w:rPr>
          <w:t>Фонд РАХ: компетенции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06  ПРОДАЖИ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Named-account продажи: 40 конкретных организаций, а не массовая реклама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Первый спрос должен создаваться через персональные предложения к реальным программам и объектам. Публичный сайт поддерживает доверие, но не заменяет адресную работу.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10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аккаунтов 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15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аккаунтов B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15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аккаунтов C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FFF" w:val="clear"/>
            <w:tcBorders>
              <w:top w:val="single" w:sz="12" w:space="0" w:color="E34A2B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E34A2B"/>
                <w:sz w:val="36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626262"/>
                <w:sz w:val="15"/>
              </w:rPr>
              <w:t>владелец следующего шага</w:t>
            </w:r>
          </w:p>
        </w:tc>
      </w:tr>
    </w:tbl>
    <w:p>
      <w:pPr>
        <w:spacing w:after="2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Коммерческий ритм</w:t>
      </w:r>
    </w:p>
    <w:p>
      <w:pPr>
        <w:spacing w:after="70" w:line="264" w:lineRule="auto"/>
        <w:numPr>
          <w:ilvl w:val="0"/>
          <w:numId w:val="11"/>
        </w:numPr>
      </w:pPr>
      <w:r>
        <w:rPr>
          <w:rFonts w:ascii="Arial" w:hAnsi="Arial" w:eastAsia="Arial"/>
          <w:b/>
          <w:color w:val="111111"/>
          <w:sz w:val="20"/>
        </w:rPr>
        <w:t xml:space="preserve">Сигнал — </w:t>
      </w:r>
      <w:r>
        <w:rPr>
          <w:rFonts w:ascii="Arial" w:hAnsi="Arial" w:eastAsia="Arial"/>
          <w:b w:val="0"/>
          <w:color w:val="111111"/>
          <w:sz w:val="20"/>
        </w:rPr>
        <w:t>новая стройка, конкурс, ОКН, юбилей, филиал, общественное пространство или корпоративная программа.</w:t>
      </w:r>
    </w:p>
    <w:p>
      <w:pPr>
        <w:spacing w:after="70" w:line="264" w:lineRule="auto"/>
        <w:numPr>
          <w:ilvl w:val="0"/>
          <w:numId w:val="11"/>
        </w:numPr>
      </w:pPr>
      <w:r>
        <w:rPr>
          <w:rFonts w:ascii="Arial" w:hAnsi="Arial" w:eastAsia="Arial"/>
          <w:b/>
          <w:color w:val="111111"/>
          <w:sz w:val="20"/>
        </w:rPr>
        <w:t xml:space="preserve">Адресный оффер — </w:t>
      </w:r>
      <w:r>
        <w:rPr>
          <w:rFonts w:ascii="Arial" w:hAnsi="Arial" w:eastAsia="Arial"/>
          <w:b w:val="0"/>
          <w:color w:val="111111"/>
          <w:sz w:val="20"/>
        </w:rPr>
        <w:t>одна страница: задача организации, релевантный продукт РАХ, доказательство и конкретный первый шаг.</w:t>
      </w:r>
    </w:p>
    <w:p>
      <w:pPr>
        <w:spacing w:after="70" w:line="264" w:lineRule="auto"/>
        <w:numPr>
          <w:ilvl w:val="0"/>
          <w:numId w:val="11"/>
        </w:numPr>
      </w:pPr>
      <w:r>
        <w:rPr>
          <w:rFonts w:ascii="Arial" w:hAnsi="Arial" w:eastAsia="Arial"/>
          <w:b/>
          <w:color w:val="111111"/>
          <w:sz w:val="20"/>
        </w:rPr>
        <w:t xml:space="preserve">Встреча-диагностика — </w:t>
      </w:r>
      <w:r>
        <w:rPr>
          <w:rFonts w:ascii="Arial" w:hAnsi="Arial" w:eastAsia="Arial"/>
          <w:b w:val="0"/>
          <w:color w:val="111111"/>
          <w:sz w:val="20"/>
        </w:rPr>
        <w:t>45 минут с владельцем решения; итогом является запрос исходных данных и коммерческое предложение.</w:t>
      </w:r>
    </w:p>
    <w:p>
      <w:pPr>
        <w:spacing w:after="70" w:line="264" w:lineRule="auto"/>
        <w:numPr>
          <w:ilvl w:val="0"/>
          <w:numId w:val="11"/>
        </w:numPr>
      </w:pPr>
      <w:r>
        <w:rPr>
          <w:rFonts w:ascii="Arial" w:hAnsi="Arial" w:eastAsia="Arial"/>
          <w:b/>
          <w:color w:val="111111"/>
          <w:sz w:val="20"/>
        </w:rPr>
        <w:t xml:space="preserve">Оплачиваемая предпроектная стадия — </w:t>
      </w:r>
      <w:r>
        <w:rPr>
          <w:rFonts w:ascii="Arial" w:hAnsi="Arial" w:eastAsia="Arial"/>
          <w:b w:val="0"/>
          <w:color w:val="111111"/>
          <w:sz w:val="20"/>
        </w:rPr>
        <w:t>арт-бриф, концепция или конкурсное задание; подробные эскизы бесплатно не выдаются.</w:t>
      </w:r>
    </w:p>
    <w:p>
      <w:pPr>
        <w:spacing w:after="70" w:line="264" w:lineRule="auto"/>
        <w:numPr>
          <w:ilvl w:val="0"/>
          <w:numId w:val="11"/>
        </w:numPr>
      </w:pPr>
      <w:r>
        <w:rPr>
          <w:rFonts w:ascii="Arial" w:hAnsi="Arial" w:eastAsia="Arial"/>
          <w:b/>
          <w:color w:val="111111"/>
          <w:sz w:val="20"/>
        </w:rPr>
        <w:t xml:space="preserve">Переход в реализацию — </w:t>
      </w:r>
      <w:r>
        <w:rPr>
          <w:rFonts w:ascii="Arial" w:hAnsi="Arial" w:eastAsia="Arial"/>
          <w:b w:val="0"/>
          <w:color w:val="111111"/>
          <w:sz w:val="20"/>
        </w:rPr>
        <w:t>договор по этапам, календарь, лимит бюджета, права, контроль качества и отчётность.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3000"/>
        <w:gridCol w:w="3760"/>
      </w:tblGrid>
      <w:tr>
        <w:trPr>
          <w:tblHeader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Канал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Первый адресат</w:t>
            </w:r>
          </w:p>
        </w:tc>
        <w:tc>
          <w:tcPr>
            <w:tcW w:type="dxa" w:w="3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Первый продукт</w:t>
            </w:r>
          </w:p>
        </w:tc>
      </w:tr>
      <w:tr>
        <w:tc>
          <w:tcPr>
            <w:tcW w:type="dxa" w:w="2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Федеральный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Национальный центр «Россия», Минкультуры, Минстрой, ДОМ.РФ</w:t>
            </w:r>
          </w:p>
        </w:tc>
        <w:tc>
          <w:tcPr>
            <w:tcW w:type="dxa" w:w="37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Арт-код территории, музей, наследие, 27 заказов к 270-летию.</w:t>
            </w:r>
          </w:p>
        </w:tc>
      </w:tr>
      <w:tr>
        <w:tc>
          <w:tcPr>
            <w:tcW w:type="dxa" w:w="2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Историко-мемориальный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РВИО и РИО</w:t>
            </w:r>
          </w:p>
        </w:tc>
        <w:tc>
          <w:tcPr>
            <w:tcW w:type="dxa" w:w="37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Конкурсы, мемориалы, исторические экспозиции и авторский надзор.</w:t>
            </w:r>
          </w:p>
        </w:tc>
      </w:tr>
      <w:tr>
        <w:tc>
          <w:tcPr>
            <w:tcW w:type="dxa" w:w="2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Региональный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ЯНАО, регионы с программами городской среды и филиалы НЦ «Россия»</w:t>
            </w:r>
          </w:p>
        </w:tc>
        <w:tc>
          <w:tcPr>
            <w:tcW w:type="dxa" w:w="37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10-недельный платный пилот и последующая очередь объектов.</w:t>
            </w:r>
          </w:p>
        </w:tc>
      </w:tr>
      <w:tr>
        <w:tc>
          <w:tcPr>
            <w:tcW w:type="dxa" w:w="2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Корпоративный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Девелоперы и компании территорий присутствия</w:t>
            </w:r>
          </w:p>
        </w:tc>
        <w:tc>
          <w:tcPr>
            <w:tcW w:type="dxa" w:w="37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Арт-план портфеля, годовая рамка и 2–5 реализаций.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07  КОМАНДА И УПРАВЛЕНИЕ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Малый постоянный центр — большая проектная сеть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На старте не нужен новый институт. Нужны шесть функций, единая CRM, прозрачные правила выбора авторов и право остановить нерентабельный или юридически рискованный проект.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3900"/>
        <w:gridCol w:w="316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Функция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Зона ответственности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Результат / KPI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Исполнительный спонсор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Полномочия, федеральные отношения, снятие внутренних барьеров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Решения в срок; доступ к ключевым заказчикам.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Директор офиса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P&amp;L, приоритеты, портфель, договорная дисциплина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Воронка, валовой проектный доход, вклад в покрытие расходов.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Аккаунт / развитие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25–40 named accounts, встречи, предложения, CRM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Конверсия этапов и скорость следующего шага.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Кураторский лидер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Бриф, авторы, художественный стандарт, экспертный совет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Качество, прозрачность выбора, удовлетворённость клиента и автора.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Юрист по закупкам и IP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44-ФЗ/223-ФЗ, договоры, права, конфликт интересов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Отсутствие неоформленных прав и критических закупочных ошибок.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Продюсер / проект-контроль</w:t>
            </w:r>
          </w:p>
        </w:tc>
        <w:tc>
          <w:tcPr>
            <w:tcW w:type="dxa" w:w="39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Смета, график, подрядчики, производство, монтаж, гарантия</w:t>
            </w:r>
          </w:p>
        </w:tc>
        <w:tc>
          <w:tcPr>
            <w:tcW w:type="dxa" w:w="31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Срок, бюджет, качество и полный комплект документации.</w:t>
            </w:r>
          </w:p>
        </w:tc>
      </w:tr>
    </w:tbl>
    <w:p>
      <w:pPr>
        <w:spacing w:after="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Три обязательных реестра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Авторы и команды — </w:t>
      </w:r>
      <w:r>
        <w:rPr>
          <w:rFonts w:ascii="Arial" w:hAnsi="Arial" w:eastAsia="Arial"/>
          <w:b w:val="0"/>
          <w:color w:val="111111"/>
          <w:sz w:val="20"/>
        </w:rPr>
        <w:t>специализация, портфолио, регион, ставка, сроки, права, конфликт интересов.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Производства и подрядчики — </w:t>
      </w:r>
      <w:r>
        <w:rPr>
          <w:rFonts w:ascii="Arial" w:hAnsi="Arial" w:eastAsia="Arial"/>
          <w:b w:val="0"/>
          <w:color w:val="111111"/>
          <w:sz w:val="20"/>
        </w:rPr>
        <w:t>технологии, мощности, допуски, референсы, гарантия и финансовая устойчивость.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Проекты и лиды — </w:t>
      </w:r>
      <w:r>
        <w:rPr>
          <w:rFonts w:ascii="Arial" w:hAnsi="Arial" w:eastAsia="Arial"/>
          <w:b w:val="0"/>
          <w:color w:val="111111"/>
          <w:sz w:val="20"/>
        </w:rPr>
        <w:t>заказчик, сигнал, продукт, сумма, вероятность, владелец, следующий шаг и дата.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ПРИНЦИП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Членство в РАХ само по себе не гарантирует заказ. Отбор проводится по релевантности задаче, качеству портфолио, правам, срокам и отсутствию конфликта интересов.</w:t>
            </w:r>
          </w:p>
        </w:tc>
      </w:tr>
    </w:tbl>
    <w:p>
      <w:pPr>
        <w:spacing w:after="20" w:before="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08  ЭКОНОМИКА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Зарабатывать на управлении ценностью, а не на скрытой наценке производства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Экономика должна быть открытой: отдельно оплачиваются предпроектная работа, автор, проектирование, производство, монтаж и управление. Диапазоны ниже — шаблон для расчёта, не утверждённый прайс.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3600"/>
        <w:gridCol w:w="30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Механизм дохода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Когда применяется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</w:t>
            </w:r>
          </w:p>
        </w:tc>
      </w:tr>
      <w:tr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Фиксированный fee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Диагностика, арт-бриф, конкурс, кураторская концепция</w:t>
            </w:r>
          </w:p>
        </w:tc>
        <w:tc>
          <w:tcPr>
            <w:tcW w:type="dxa" w:w="3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Цена за результат и число итераций; 50–70% аванс / этапная оплата.</w:t>
            </w:r>
          </w:p>
        </w:tc>
      </w:tr>
      <w:tr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Проектное управление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Полный цикл с производством и монтажом</w:t>
            </w:r>
          </w:p>
        </w:tc>
        <w:tc>
          <w:tcPr>
            <w:tcW w:type="dxa" w:w="3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Прозрачный fee либо процент от управляемого бюджета с верхним пределом.</w:t>
            </w:r>
          </w:p>
        </w:tc>
      </w:tr>
      <w:tr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Авторский гонорар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Создание оригинала, надзор, тираж</w:t>
            </w:r>
          </w:p>
        </w:tc>
        <w:tc>
          <w:tcPr>
            <w:tcW w:type="dxa" w:w="3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Отдельная строка и отдельный договор; не растворяется в подрядной смете.</w:t>
            </w:r>
          </w:p>
        </w:tc>
      </w:tr>
      <w:tr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Комиссия продажи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РАХ Select / Salon</w:t>
            </w:r>
          </w:p>
        </w:tc>
        <w:tc>
          <w:tcPr>
            <w:tcW w:type="dxa" w:w="3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Рабочий коридор 25–35% как предмет утверждения; логистика и права считаются отдельно.</w:t>
            </w:r>
          </w:p>
        </w:tc>
      </w:tr>
      <w:tr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Лицензия / роялти</w:t>
            </w:r>
          </w:p>
        </w:tc>
        <w:tc>
          <w:tcPr>
            <w:tcW w:type="dxa" w:w="3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Тиражи, издательские и брендовые продукты</w:t>
            </w:r>
          </w:p>
        </w:tc>
        <w:tc>
          <w:tcPr>
            <w:tcW w:type="dxa" w:w="3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Минимальная гарантия плюс роялти от согласованной базы продаж.</w:t>
            </w:r>
          </w:p>
        </w:tc>
      </w:tr>
    </w:tbl>
    <w:p>
      <w:pPr>
        <w:spacing w:after="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Иллюстративное распределение бюджета монументального проекта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600"/>
        <w:gridCol w:w="2100"/>
        <w:gridCol w:w="1500"/>
        <w:gridCol w:w="1400"/>
        <w:gridCol w:w="15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Автор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Проектирование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Производство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Монтаж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Офис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Резерв</w:t>
            </w:r>
          </w:p>
        </w:tc>
      </w:tr>
      <w:tr>
        <w:tc>
          <w:tcPr>
            <w:tcW w:type="dxa" w:w="1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8%</w:t>
            </w:r>
          </w:p>
        </w:tc>
        <w:tc>
          <w:tcPr>
            <w:tcW w:type="dxa" w:w="16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10%</w:t>
            </w:r>
          </w:p>
        </w:tc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50%</w:t>
            </w:r>
          </w:p>
        </w:tc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12%</w:t>
            </w:r>
          </w:p>
        </w:tc>
        <w:tc>
          <w:tcPr>
            <w:tcW w:type="dxa" w:w="14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10%</w:t>
            </w:r>
          </w:p>
        </w:tc>
        <w:tc>
          <w:tcPr>
            <w:tcW w:type="dxa" w:w="15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10%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ПРОВЕРКА ПЕРЕД УТВЕРЖДЕНИЕМ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Потребуются фактическая себестоимость, налоговая модель, распределение общих расходов, оборотный капитал и подписанная отчётность. Первичные данные ГИР БО Фонда за 2025 год в рамках этой работы не подтверждены.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24">
        <w:r>
          <w:rPr>
            <w:rFonts w:ascii="Arial" w:hAnsi="Arial"/>
            <w:color w:val="626262"/>
            <w:sz w:val="14"/>
            <w:u w:val="single"/>
          </w:rPr>
          <w:t>Royal Academy: комиссия 35% — внешний ориентир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5">
        <w:r>
          <w:rPr>
            <w:rFonts w:ascii="Arial" w:hAnsi="Arial"/>
            <w:color w:val="626262"/>
            <w:sz w:val="14"/>
            <w:u w:val="single"/>
          </w:rPr>
          <w:t>ГИР БО ФНС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09  ЮРИДИЧЕСКАЯ АРХИТЕКТУРА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Пять красных линий, без которых коммерческий рост опасен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Имя Академии усиливает доверие, но не отменяет закупочное законодательство, авторское право, лицензирование, конфликт интересов и строительную ответственность.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3450"/>
        <w:gridCol w:w="3910"/>
      </w:tblGrid>
      <w:tr>
        <w:trPr>
          <w:tblHeader w:val="true"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Риск</w:t>
            </w:r>
          </w:p>
        </w:tc>
        <w:tc>
          <w:tcPr>
            <w:tcW w:type="dxa" w:w="3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Что нельзя обещать</w:t>
            </w:r>
          </w:p>
        </w:tc>
        <w:tc>
          <w:tcPr>
            <w:tcW w:type="dxa" w:w="3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Контроль до предложения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Единственный поставщик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Что любой проект РАХ автоматически закупается без конкурса.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Юрист определяет основание: конкретное произведение/право, договор с физлицом, авторский надзор либо конкурентная процедура.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Авторские права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Что членство автора в РАХ передаёт Академии права.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Заказ, лицензия или отчуждение: оригинал, воспроизведение, тираж, реклама, цифровое использование, масштаб и материал.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Проектные допуски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Что наличие общего строительного допуска покрывает любое проектирование.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Проверить актуальное членство в проектном СРО либо привлечь квалифицированного партнёра до подписания.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ОКН и реставрация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Что лицензия покрывает любую работу на любом объекте.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Сопоставить предмет лицензии, категорию объекта, состав команды и требования задания.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Заинтересованность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Что общий руководитель РАХ и Фонда устраняет необходимость согласований.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Раскрытие связи, независимое одобрение, рыночность условий, протокол и самоотвод при необходимости.</w:t>
            </w:r>
          </w:p>
        </w:tc>
      </w:tr>
      <w:tr>
        <w:tc>
          <w:tcPr>
            <w:tcW w:type="dxa" w:w="2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Разделение закупки</w:t>
            </w:r>
          </w:p>
        </w:tc>
        <w:tc>
          <w:tcPr>
            <w:tcW w:type="dxa" w:w="34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Искусственно дробить единый комплекс для обхода процедуры.</w:t>
            </w:r>
          </w:p>
        </w:tc>
        <w:tc>
          <w:tcPr>
            <w:tcW w:type="dxa" w:w="39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Единое техническое задание, обоснованное лотирование и документированный закупочный маршрут.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СТОП-УСЛОВИЕ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Если права, допуски, владелец результата, закупочный маршрут или источник оплаты не определены, проект не переходит к бесплатной художественной разработке.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26">
        <w:r>
          <w:rPr>
            <w:rFonts w:ascii="Arial" w:hAnsi="Arial"/>
            <w:color w:val="626262"/>
            <w:sz w:val="14"/>
            <w:u w:val="single"/>
          </w:rPr>
          <w:t>44-ФЗ, статья 93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7">
        <w:r>
          <w:rPr>
            <w:rFonts w:ascii="Arial" w:hAnsi="Arial"/>
            <w:color w:val="626262"/>
            <w:sz w:val="14"/>
            <w:u w:val="single"/>
          </w:rPr>
          <w:t>СРО Фонда: строительство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8">
        <w:r>
          <w:rPr>
            <w:rFonts w:ascii="Arial" w:hAnsi="Arial"/>
            <w:color w:val="626262"/>
            <w:sz w:val="14"/>
            <w:u w:val="single"/>
          </w:rPr>
          <w:t>Проектное СРО: прекращение 17.12.2025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9">
        <w:r>
          <w:rPr>
            <w:rFonts w:ascii="Arial" w:hAnsi="Arial"/>
            <w:color w:val="626262"/>
            <w:sz w:val="14"/>
            <w:u w:val="single"/>
          </w:rPr>
          <w:t>РАХ–УПРАВИС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10  ЗАПУСК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90 дней до работающего контура; 270-летие — публичный дедлайн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Юбилей РАХ в 2027 году даёт естественный повод не для разовой выставки, а для портфеля оплачиваемых работ, созданных вместе с регионами и компаниями.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350"/>
        <w:gridCol w:w="351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Период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Что создаём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Проверяемый результат</w:t>
            </w:r>
          </w:p>
        </w:tc>
      </w:tr>
      <w:tr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Недели 1–2</w:t>
            </w:r>
          </w:p>
        </w:tc>
        <w:tc>
          <w:tcPr>
            <w:tcW w:type="dxa" w:w="43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Мандат офиса, юридическая схема, регламент конфликта интересов, владелец CRM.</w:t>
            </w:r>
          </w:p>
        </w:tc>
        <w:tc>
          <w:tcPr>
            <w:tcW w:type="dxa" w:w="35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Решение Президиума; шаблоны NDA, диагностики и авторского договора.</w:t>
            </w:r>
          </w:p>
        </w:tc>
      </w:tr>
      <w:tr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Недели 3–4</w:t>
            </w:r>
          </w:p>
        </w:tc>
        <w:tc>
          <w:tcPr>
            <w:tcW w:type="dxa" w:w="43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8 паспортов, 20 кейсов, реестр 50+ авторов/команд, квалификационный пакет оператора.</w:t>
            </w:r>
          </w:p>
        </w:tc>
        <w:tc>
          <w:tcPr>
            <w:tcW w:type="dxa" w:w="35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Готовность отвечать на запрос за 5 рабочих дней.</w:t>
            </w:r>
          </w:p>
        </w:tc>
      </w:tr>
      <w:tr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Недели 5–8</w:t>
            </w:r>
          </w:p>
        </w:tc>
        <w:tc>
          <w:tcPr>
            <w:tcW w:type="dxa" w:w="43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20 адресных встреч, 5 совместных воркшопов, тендерный мониторинг.</w:t>
            </w:r>
          </w:p>
        </w:tc>
        <w:tc>
          <w:tcPr>
            <w:tcW w:type="dxa" w:w="35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 менее 10 запросов исходных данных / предложений.</w:t>
            </w:r>
          </w:p>
        </w:tc>
      </w:tr>
      <w:tr>
        <w:tc>
          <w:tcPr>
            <w:tcW w:type="dxa" w:w="1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Недели 9–12</w:t>
            </w:r>
          </w:p>
        </w:tc>
        <w:tc>
          <w:tcPr>
            <w:tcW w:type="dxa" w:w="435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Оплачиваемые концепции, конкурсные заявки и первые рамочные соглашения.</w:t>
            </w:r>
          </w:p>
        </w:tc>
        <w:tc>
          <w:tcPr>
            <w:tcW w:type="dxa" w:w="351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Цель: 10 оплачиваемых концепций/заявок; подтверждённый pipeline на год.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ФЛАГМАН 2027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«27 художественных заказов к 270-летию РАХ»: регионы, девелоперы и корпорации финансируют реальные произведения и пространства; РАХ обеспечивает отбор, качество, права и публичную программу. Это рабочая идея, а не утверждённая программа.</w:t>
            </w:r>
          </w:p>
        </w:tc>
      </w:tr>
    </w:tbl>
    <w:p>
      <w:pPr>
        <w:spacing w:after="20" w:before="0"/>
      </w:pP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>Не считать успехом</w:t>
      </w:r>
      <w:r>
        <w:rPr>
          <w:rFonts w:ascii="Arial" w:hAnsi="Arial" w:eastAsia="Arial"/>
          <w:b w:val="0"/>
          <w:color w:val="111111"/>
          <w:sz w:val="20"/>
        </w:rPr>
        <w:t xml:space="preserve"> меморандумы без бюджета, выставочные обещания и бесплатные эскизы.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>Считать успехом</w:t>
      </w:r>
      <w:r>
        <w:rPr>
          <w:rFonts w:ascii="Arial" w:hAnsi="Arial" w:eastAsia="Arial"/>
          <w:b w:val="0"/>
          <w:color w:val="111111"/>
          <w:sz w:val="20"/>
        </w:rPr>
        <w:t xml:space="preserve"> оплаченный первый этап, подтверждённый заказчик, назначенный владелец решения и маршрут реализации.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20"/>
        </w:rPr>
        <w:t xml:space="preserve">Публичный итог — </w:t>
      </w:r>
      <w:r>
        <w:rPr>
          <w:rFonts w:ascii="Arial" w:hAnsi="Arial" w:eastAsia="Arial"/>
          <w:b w:val="0"/>
          <w:color w:val="111111"/>
          <w:sz w:val="20"/>
        </w:rPr>
        <w:t>карта 27 объектов, выставка процессов и результатов, каталог авторов и отчёт об эффекте для территорий.</w:t>
      </w: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0">
        <w:r>
          <w:rPr>
            <w:rFonts w:ascii="Arial" w:hAnsi="Arial"/>
            <w:color w:val="626262"/>
            <w:sz w:val="14"/>
            <w:u w:val="single"/>
          </w:rPr>
          <w:t>РАХ: подготовка к 270-летию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11  ПЕРВЫЙ ПИЛОТ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«РАХ. Арт-код территории» — художественный модуль внутри «Архитектурного кода России»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Предлагаемая методология соединяет общероссийские смыслы с историей, ландшафтом, морфологией и укладом конкретного места — без универсального стиля.</w:t>
      </w:r>
      <w:r>
        <w:br/>
      </w:r>
      <w:hyperlink r:id="rId34">
        <w:r>
          <w:rPr>
            <w:color w:val="E34A2B"/>
            <w:u w:val="single"/>
          </w:rPr>
          <w:t>Архи-код — city-archi-code.korsi.ru</w:t>
        </w:r>
      </w:hyperlink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Предлагаемая конфигурация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Заказчик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Один регион, город, мастер-девелопер либо филиал Национального центра «Россия».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Срок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10 недель: диагностика → смысловая карта → арт-узлы → задания → приоритеты → дорожная карта.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Результат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3–5 мест для художественного вмешательства; отдельные задания; шорт-листы форматов и авторов; бюджетные коридоры; маршрут закупки и согласований.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Цена входа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Оплачиваемая предпроектная стадия. Конкретная цена рассчитывается после объёма территории и состава исходных данных.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Продолжение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Конкурс или адресная комиссия, проектирование, изготовление, монтаж, авторский надзор и культурная программа.</w:t>
            </w:r>
          </w:p>
        </w:tc>
      </w:tr>
      <w:tr>
        <w:tc>
          <w:tcPr>
            <w:tcW w:type="dxa" w:w="2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Ограничение</w:t>
            </w:r>
          </w:p>
        </w:tc>
        <w:tc>
          <w:tcPr>
            <w:tcW w:type="dxa" w:w="70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7"/>
              </w:rPr>
              <w:t>Методика не заменяет ПЗЗ, градостроительные регламенты, проектирование, экспертизу и законные согласования; обязательность возникает только через компетентное решение.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СТАТУС ПИЛОТА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Территория пилота определяется только после письменного подтверждения заказчика, объёма работ, бюджета и ответственного оператора. До этого конкретные регионы и города не включаются в публичные материалы.</w:t>
            </w:r>
          </w:p>
        </w:tc>
      </w:tr>
    </w:tbl>
    <w:p>
      <w:pPr>
        <w:spacing w:after="20" w:before="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Решения следующего совещания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20"/>
        </w:rPr>
        <w:t>Назначить спонсора и директора 90-дневного запуска.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20"/>
        </w:rPr>
        <w:t>Утвердить договорный контур и юридическую проверку Фонда по каждому типу работ.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20"/>
        </w:rPr>
        <w:t>Разрешить подготовку 10 адресных встреч и двух платных пилотных предложений.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20"/>
        </w:rPr>
        <w:t>Согласовать принцип «27 заказов к 270-летию» для предварительной проработки.</w:t>
      </w: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1">
        <w:r>
          <w:rPr>
            <w:rFonts w:ascii="Arial" w:hAnsi="Arial"/>
            <w:color w:val="626262"/>
            <w:sz w:val="14"/>
            <w:u w:val="single"/>
          </w:rPr>
          <w:t>Наццентр: совет по архитектуре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2">
        <w:r>
          <w:rPr>
            <w:rFonts w:ascii="Arial" w:hAnsi="Arial"/>
            <w:color w:val="626262"/>
            <w:sz w:val="14"/>
            <w:u w:val="single"/>
          </w:rPr>
          <w:t>Совет по новому российскому стилю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3">
        <w:r>
          <w:rPr>
            <w:rFonts w:ascii="Arial" w:hAnsi="Arial"/>
            <w:color w:val="626262"/>
            <w:sz w:val="14"/>
            <w:u w:val="single"/>
          </w:rPr>
          <w:t>РАХ–РВИО</w:t>
        </w:r>
      </w:hyperlink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37" w:right="1440" w:bottom="1037" w:left="1440" w:header="490" w:footer="49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color w:val="62626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626262"/>
        <w:sz w:val="15"/>
      </w:rPr>
      <w:t>РАХ / ПРОЕКТНЫЙ ОФИС ХУДОЖЕСТВЕННЫХ ПРОЕКТОВ</w:t>
    </w:r>
    <w:r>
      <w:rPr>
        <w:rFonts w:ascii="Arial" w:hAnsi="Arial" w:eastAsia="Arial"/>
        <w:color w:val="626262"/>
        <w:sz w:val="15"/>
      </w:rPr>
      <w:t xml:space="preserve">  /  Рабочая версия 1.0 · 31.08.2026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4" w:lineRule="auto"/>
    </w:pPr>
    <w:rPr>
      <w:rFonts w:ascii="Arial" w:hAnsi="Arial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20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11111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" w:hAnsi="Arial"/>
      <w:i w:val="0"/>
      <w:iCs/>
      <w:color w:val="11111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0" w:line="264" w:lineRule="auto"/>
      <w:ind w:left="547" w:hanging="274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70" w:line="264" w:lineRule="auto"/>
      <w:ind w:left="547" w:hanging="274"/>
      <w:contextualSpacing/>
    </w:pPr>
    <w:rPr>
      <w:rFonts w:ascii="Arial" w:hAnsi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rah.ru/the_academy_today/ofitsialnye-dokumenty/ustav-rah.pdf" TargetMode="External"/><Relationship Id="rId14" Type="http://schemas.openxmlformats.org/officeDocument/2006/relationships/hyperlink" Target="https://rah.ru/the_academy_today/struktura/tvorcheskie_masterskie_rakh/" TargetMode="External"/><Relationship Id="rId15" Type="http://schemas.openxmlformats.org/officeDocument/2006/relationships/hyperlink" Target="https://rah.ru/the_academy_today/struktura/otdeleniya/otdelenie_skulptury/" TargetMode="External"/><Relationship Id="rId16" Type="http://schemas.openxmlformats.org/officeDocument/2006/relationships/hyperlink" Target="https://fund-rah.ru/" TargetMode="External"/><Relationship Id="rId17" Type="http://schemas.openxmlformats.org/officeDocument/2006/relationships/hyperlink" Target="https://government.ru/docs/all/161065/" TargetMode="External"/><Relationship Id="rId18" Type="http://schemas.openxmlformats.org/officeDocument/2006/relationships/hyperlink" Target="https://culture.gov.ru/about/national-project/natsionalnyy-proekt-semya/" TargetMode="External"/><Relationship Id="rId19" Type="http://schemas.openxmlformats.org/officeDocument/2006/relationships/hyperlink" Target="https://government.ru/news/54891/" TargetMode="External"/><Relationship Id="rId20" Type="http://schemas.openxmlformats.org/officeDocument/2006/relationships/hyperlink" Target="https://zakupki.gov.ru/epz/contractfz223/card/contract-info.html?id=20395471" TargetMode="External"/><Relationship Id="rId21" Type="http://schemas.openxmlformats.org/officeDocument/2006/relationships/hyperlink" Target="https://zakupki.gov.ru/epz/order/notice/ok20/view/common-info.html?regNumber=0815500000526006614" TargetMode="External"/><Relationship Id="rId22" Type="http://schemas.openxmlformats.org/officeDocument/2006/relationships/hyperlink" Target="https://www.mr-group.ru/news/khudozhniki-art-fabriki-razrabotayut-8-skulptur-dlya-zhilykh-kompleksov-mr-group-kotorye-budut-preds/" TargetMode="External"/><Relationship Id="rId23" Type="http://schemas.openxmlformats.org/officeDocument/2006/relationships/hyperlink" Target="https://art.stone.ru/" TargetMode="External"/><Relationship Id="rId24" Type="http://schemas.openxmlformats.org/officeDocument/2006/relationships/hyperlink" Target="https://summer.royalacademy.org.uk/Home/FAQ" TargetMode="External"/><Relationship Id="rId25" Type="http://schemas.openxmlformats.org/officeDocument/2006/relationships/hyperlink" Target="https://bo.nalog.gov.ru/" TargetMode="External"/><Relationship Id="rId26" Type="http://schemas.openxmlformats.org/officeDocument/2006/relationships/hyperlink" Target="https://www.consultant.ru/document/cons_doc_LAW_144624/ab3273e757a9e718cbb3741596bc36eb8138e4f6/" TargetMode="External"/><Relationship Id="rId27" Type="http://schemas.openxmlformats.org/officeDocument/2006/relationships/hyperlink" Target="https://www.sro-mosk.ru/reestr/v/3530" TargetMode="External"/><Relationship Id="rId28" Type="http://schemas.openxmlformats.org/officeDocument/2006/relationships/hyperlink" Target="https://xn--e1akkaeeceq.xn--p1ai/reestr/id/3517" TargetMode="External"/><Relationship Id="rId29" Type="http://schemas.openxmlformats.org/officeDocument/2006/relationships/hyperlink" Target="https://rah.ru/news/detail.php?ID=61692" TargetMode="External"/><Relationship Id="rId30" Type="http://schemas.openxmlformats.org/officeDocument/2006/relationships/hyperlink" Target="https://rah.ru/the_academy_today/" TargetMode="External"/><Relationship Id="rId31" Type="http://schemas.openxmlformats.org/officeDocument/2006/relationships/hyperlink" Target="https://russia.ru/news/sostoialos-pervoe-zasedanie-ekspertnogo-soveta-po-arxitekture-i-gradostroitelstvu-pri-nc-rossiia" TargetMode="External"/><Relationship Id="rId32" Type="http://schemas.openxmlformats.org/officeDocument/2006/relationships/hyperlink" Target="https://kremlin.ru/events/administration/80183" TargetMode="External"/><Relationship Id="rId33" Type="http://schemas.openxmlformats.org/officeDocument/2006/relationships/hyperlink" Target="https://rah.ru/news/detail.php?ID=57311" TargetMode="External"/><Relationship Id="rId34" Type="http://schemas.openxmlformats.org/officeDocument/2006/relationships/hyperlink" Target="https://city-archi-code.kor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Проектный офис художественных проектов РАХ</dc:title>
  <dc:subject>Концепция коммерческой деятельности Российской академии художеств и проектного контура Фонда РАХ</dc:subject>
  <dc:creator>РАХ</dc:creator>
  <cp:keywords>РАХ; проектный офис; искусство; архитектура; коммерческая стратегия</cp:keywords>
  <dc:description>Рабочая стратегическая версия; финансовые диапазоны являются управленческими гипотезами.</dc:description>
  <cp:lastModifiedBy>РАХ</cp:lastModifiedBy>
  <cp:revision>1</cp:revision>
  <dcterms:created xsi:type="dcterms:W3CDTF">2013-12-23T23:15:00Z</dcterms:created>
  <dcterms:modified xsi:type="dcterms:W3CDTF">2013-12-23T23:15:00Z</dcterms:modified>
  <cp:category/>
</cp:coreProperties>
</file>